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中国·湖州全球高层次人才创新创业大赛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中国·湖州全球高层次人才创新创业大赛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是中国浙江省湖州市举办的规格最高、规模最大的创新创业大赛。大赛遵循共创、共赢的思维，以开放的姿态为来自全球的高层次人才搭建发挥才能、寻梦未来的大舞台。参赛项目连年攀升，2020年举办的第三届中国·湖州全球高层次人才创新创业大赛共收到来自中国、北美、欧洲、日本等19个国家和地区的1448个项目报名。迄今已有上百个优秀项目通过大赛渠道成功落户湖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第四届</w:t>
      </w:r>
      <w:r>
        <w:rPr>
          <w:rFonts w:hint="eastAsia" w:ascii="楷体" w:hAnsi="楷体" w:eastAsia="楷体" w:cs="楷体"/>
          <w:sz w:val="28"/>
          <w:szCs w:val="28"/>
        </w:rPr>
        <w:t>中国·湖州全球高层次人才创新创业大赛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在在海外设有欧洲赛区和北美赛区，在国内设有</w:t>
      </w:r>
      <w:r>
        <w:rPr>
          <w:rFonts w:hint="eastAsia" w:ascii="楷体" w:hAnsi="楷体" w:eastAsia="楷体" w:cs="楷体"/>
          <w:sz w:val="28"/>
          <w:szCs w:val="28"/>
        </w:rPr>
        <w:t>上海、北京、深圳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武汉、成都、合肥等城市赛区和浙江大学校友生命健康专业赛事，在湖州本市还设有六大区县赛区。将以数字经济、高端装备、生命健康、新材料四大战略性新兴产业为主要范畴向全球征集参赛项目。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各个分赛区优胜项目不仅将获得奖金、证书，还有机会获得前往中国湖州参赛、洽谈的路费补贴。如果能够落户湖州，还有机会获得最高1000万元人民币（约130万欧元）的“南太湖精英计划”资助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往年全球总决赛优胜项目案例：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低轨卫星电推进系统产业化项目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高导热氮化硅陶瓷基片项目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2019年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特等奖  增强现实光学显示模组及衍射光栅产业化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KOMAK系列专用磨削机器人的研发及产业化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光交互未来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防爆智能巡检机器人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2018年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环保瓶颈环节人工智能最优控制系统及在线检测设备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雅纤维素纳米晶的产业化和商业化应用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一等奖  重大慢病治疗药物缓控释制剂平台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1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中国·湖州简介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中国浙江省</w:t>
      </w:r>
      <w:r>
        <w:rPr>
          <w:rFonts w:eastAsia="仿宋_GB2312"/>
          <w:sz w:val="28"/>
          <w:szCs w:val="28"/>
        </w:rPr>
        <w:t>湖州</w:t>
      </w:r>
      <w:r>
        <w:rPr>
          <w:rFonts w:hint="eastAsia" w:eastAsia="仿宋_GB2312"/>
          <w:sz w:val="28"/>
          <w:szCs w:val="28"/>
        </w:rPr>
        <w:t>市地处太湖之滨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南接杭州、东近上海、北邻江苏。</w:t>
      </w:r>
      <w:r>
        <w:rPr>
          <w:rFonts w:eastAsia="仿宋_GB2312"/>
          <w:sz w:val="28"/>
          <w:szCs w:val="28"/>
        </w:rPr>
        <w:t>高铁到杭州20分钟、到南京50分钟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沪苏湖</w:t>
      </w:r>
      <w:r>
        <w:rPr>
          <w:rFonts w:hint="eastAsia" w:eastAsia="仿宋_GB2312"/>
          <w:sz w:val="28"/>
          <w:szCs w:val="28"/>
          <w:lang w:val="en-US" w:eastAsia="zh-CN"/>
        </w:rPr>
        <w:t>高铁</w:t>
      </w:r>
      <w:r>
        <w:rPr>
          <w:rFonts w:eastAsia="仿宋_GB2312"/>
          <w:sz w:val="28"/>
          <w:szCs w:val="28"/>
        </w:rPr>
        <w:t>建成后到上海28分钟。</w:t>
      </w:r>
      <w:r>
        <w:rPr>
          <w:rFonts w:hint="eastAsia" w:eastAsia="仿宋_GB2312"/>
          <w:sz w:val="28"/>
          <w:szCs w:val="28"/>
        </w:rPr>
        <w:t>高速公路直达上海浦东国际机场、虹桥国际机场、杭州国际机场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南京国际机场</w:t>
      </w:r>
      <w:r>
        <w:rPr>
          <w:rFonts w:hint="eastAsia" w:eastAsia="仿宋_GB2312"/>
          <w:sz w:val="28"/>
          <w:szCs w:val="28"/>
        </w:rPr>
        <w:t>，车程均在1.5小时以内。</w:t>
      </w:r>
    </w:p>
    <w:p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湖州</w:t>
      </w:r>
      <w:r>
        <w:rPr>
          <w:rFonts w:eastAsia="仿宋_GB2312"/>
          <w:sz w:val="28"/>
          <w:szCs w:val="28"/>
        </w:rPr>
        <w:t>全市辖吴兴、南浔两区和德清、长兴、安吉三县，常住人口306万人。</w:t>
      </w:r>
      <w:r>
        <w:rPr>
          <w:rFonts w:hint="eastAsia" w:eastAsia="仿宋_GB2312"/>
          <w:sz w:val="28"/>
          <w:szCs w:val="28"/>
        </w:rPr>
        <w:t>湖州山清水秀、人杰地灵，中国社会科学院“城市与竞争力指数”显示湖州的宜居指数、可持续竞争指数等在中国数百个大中城市跻身前</w:t>
      </w:r>
      <w:r>
        <w:rPr>
          <w:rFonts w:hint="eastAsia" w:eastAsia="仿宋_GB2312"/>
          <w:sz w:val="28"/>
          <w:szCs w:val="28"/>
          <w:lang w:val="en-US" w:eastAsia="zh-CN"/>
        </w:rPr>
        <w:t>捌拾强</w:t>
      </w:r>
      <w:r>
        <w:rPr>
          <w:rFonts w:hint="eastAsia" w:eastAsia="仿宋_GB2312"/>
          <w:sz w:val="28"/>
          <w:szCs w:val="28"/>
        </w:rPr>
        <w:t>。每年选择到湖州工作、创业的大学本科以上人才连年</w:t>
      </w:r>
      <w:r>
        <w:rPr>
          <w:rFonts w:hint="eastAsia" w:eastAsia="仿宋_GB2312"/>
          <w:sz w:val="28"/>
          <w:szCs w:val="28"/>
          <w:lang w:val="en-US" w:eastAsia="zh-CN"/>
        </w:rPr>
        <w:t>新增流入</w:t>
      </w:r>
      <w:r>
        <w:rPr>
          <w:rFonts w:hint="eastAsia" w:eastAsia="仿宋_GB2312"/>
          <w:sz w:val="28"/>
          <w:szCs w:val="28"/>
        </w:rPr>
        <w:t>超过10万人。</w:t>
      </w:r>
      <w:r>
        <w:rPr>
          <w:rFonts w:eastAsia="仿宋_GB2312"/>
          <w:sz w:val="28"/>
          <w:szCs w:val="28"/>
        </w:rPr>
        <w:t>湖州市人才发展综合指数位列浙江省第三，其中人才发展潜力指数居全省第一，人才发展现状指数居全省第二，人才创新贡献指数居全省第三。</w:t>
      </w:r>
    </w:p>
    <w:p>
      <w:pPr>
        <w:spacing w:line="460" w:lineRule="exact"/>
        <w:ind w:firstLine="560" w:firstLineChars="200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湖州</w:t>
      </w:r>
      <w:r>
        <w:rPr>
          <w:rFonts w:hint="eastAsia" w:eastAsia="仿宋_GB2312"/>
          <w:sz w:val="28"/>
          <w:szCs w:val="28"/>
          <w:lang w:val="en-US" w:eastAsia="zh-CN"/>
        </w:rPr>
        <w:t>拥有浙江大学湖州研</w:t>
      </w:r>
      <w:r>
        <w:rPr>
          <w:rFonts w:hint="eastAsia" w:eastAsia="仿宋_GB2312"/>
          <w:sz w:val="28"/>
          <w:szCs w:val="28"/>
          <w:lang w:val="en-US" w:eastAsia="zh-CN"/>
        </w:rPr>
        <w:t>究院、电子科技大学</w:t>
      </w:r>
      <w:r>
        <w:rPr>
          <w:rFonts w:hint="default" w:eastAsia="仿宋_GB2312"/>
          <w:sz w:val="28"/>
          <w:szCs w:val="28"/>
          <w:lang w:val="en-US" w:eastAsia="zh-CN"/>
        </w:rPr>
        <w:t>长三角研究院</w:t>
      </w:r>
      <w:r>
        <w:rPr>
          <w:rFonts w:hint="eastAsia" w:eastAsia="仿宋_GB2312"/>
          <w:sz w:val="28"/>
          <w:szCs w:val="28"/>
          <w:lang w:val="en-US" w:eastAsia="zh-CN"/>
        </w:rPr>
        <w:t>、哈工大机器人（</w:t>
      </w:r>
      <w:r>
        <w:rPr>
          <w:rFonts w:hint="default" w:eastAsia="仿宋_GB2312"/>
          <w:sz w:val="28"/>
          <w:szCs w:val="28"/>
          <w:lang w:val="en-US" w:eastAsia="zh-CN"/>
        </w:rPr>
        <w:t>湖州</w:t>
      </w:r>
      <w:r>
        <w:rPr>
          <w:rFonts w:hint="eastAsia" w:eastAsia="仿宋_GB2312"/>
          <w:sz w:val="28"/>
          <w:szCs w:val="28"/>
          <w:lang w:val="en-US" w:eastAsia="zh-CN"/>
        </w:rPr>
        <w:t>）</w:t>
      </w:r>
      <w:r>
        <w:rPr>
          <w:rFonts w:hint="default" w:eastAsia="仿宋_GB2312"/>
          <w:sz w:val="28"/>
          <w:szCs w:val="28"/>
          <w:lang w:val="en-US" w:eastAsia="zh-CN"/>
        </w:rPr>
        <w:t>国际科技创新中心</w:t>
      </w:r>
      <w:r>
        <w:rPr>
          <w:rFonts w:hint="eastAsia" w:eastAsia="仿宋_GB2312"/>
          <w:sz w:val="28"/>
          <w:szCs w:val="28"/>
          <w:lang w:val="en-US" w:eastAsia="zh-CN"/>
        </w:rPr>
        <w:t>、中国</w:t>
      </w:r>
      <w:r>
        <w:rPr>
          <w:rFonts w:hint="default" w:eastAsia="仿宋_GB2312"/>
          <w:sz w:val="28"/>
          <w:szCs w:val="28"/>
          <w:lang w:val="en-US" w:eastAsia="zh-CN"/>
        </w:rPr>
        <w:t>航天科技集团八院806</w:t>
      </w:r>
      <w:r>
        <w:rPr>
          <w:rFonts w:hint="eastAsia" w:eastAsia="仿宋_GB2312"/>
          <w:sz w:val="28"/>
          <w:szCs w:val="28"/>
          <w:lang w:val="en-US" w:eastAsia="zh-CN"/>
        </w:rPr>
        <w:t>研究</w:t>
      </w:r>
      <w:r>
        <w:rPr>
          <w:rFonts w:hint="default" w:eastAsia="仿宋_GB2312"/>
          <w:sz w:val="28"/>
          <w:szCs w:val="28"/>
          <w:lang w:val="en-US" w:eastAsia="zh-CN"/>
        </w:rPr>
        <w:t>所</w:t>
      </w:r>
      <w:r>
        <w:rPr>
          <w:rFonts w:hint="eastAsia" w:eastAsia="仿宋_GB2312"/>
          <w:sz w:val="28"/>
          <w:szCs w:val="28"/>
          <w:lang w:val="en-US" w:eastAsia="zh-CN"/>
        </w:rPr>
        <w:t>、湖州师范学院、浙江工业大学德清校区、浙江科技学院安吉校区、浙江水利水电学院南浔校区等一大批院校和科研机构。中国首枚民营运载火箭的研制基地“蓝箭航天</w:t>
      </w:r>
      <w:r>
        <w:rPr>
          <w:rFonts w:hint="eastAsia" w:eastAsia="仿宋_GB2312"/>
          <w:sz w:val="28"/>
          <w:szCs w:val="28"/>
          <w:lang w:val="en-US" w:eastAsia="zh-CN"/>
        </w:rPr>
        <w:t>”就坐落于湖州经济技术开发区。</w:t>
      </w:r>
    </w:p>
    <w:p>
      <w:pPr>
        <w:spacing w:line="460" w:lineRule="exact"/>
        <w:ind w:firstLine="560" w:firstLineChars="20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湖州近年来经济发展迅猛，拥有天能集团、超威集团等年营收超千亿元人民币的特大型企业和一批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>年营收超百亿元人民币的大企业。拥有境内外上市公司30多家，涵盖生物医药、数字化、智能制造、能源、材料、家具家居、影视旅游等多个领域。在高新技术产业领域，湖州拥有省级以上高新技术企业1000余家。</w:t>
      </w:r>
    </w:p>
    <w:p>
      <w:pPr>
        <w:spacing w:line="460" w:lineRule="exact"/>
        <w:ind w:firstLine="560" w:firstLineChars="200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湖州还拥有国家级湖州经济技术开发区、国家级长兴经济技术开发区、国家级莫干山</w:t>
      </w:r>
      <w:r>
        <w:rPr>
          <w:rFonts w:hint="default" w:eastAsia="仿宋_GB2312"/>
          <w:sz w:val="28"/>
          <w:szCs w:val="28"/>
          <w:lang w:val="en-US" w:eastAsia="zh-CN"/>
        </w:rPr>
        <w:t>高新技术产业开发区</w:t>
      </w:r>
      <w:r>
        <w:rPr>
          <w:rFonts w:hint="eastAsia" w:eastAsia="仿宋_GB2312"/>
          <w:sz w:val="28"/>
          <w:szCs w:val="28"/>
          <w:lang w:val="en-US" w:eastAsia="zh-CN"/>
        </w:rPr>
        <w:t>、国家级跨境电子商务综合试验区以及南太湖高新技术产业园、安吉两山高新技术产业园区等一批创新创业的优质平台。</w:t>
      </w:r>
    </w:p>
    <w:p>
      <w:pPr>
        <w:spacing w:line="460" w:lineRule="exact"/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在湖州，您既可以创新创业施展才华，也可以徜徉山水享受生活。</w:t>
      </w:r>
    </w:p>
    <w:p>
      <w:pPr>
        <w:spacing w:line="460" w:lineRule="exact"/>
        <w:ind w:firstLine="560" w:firstLineChars="200"/>
        <w:jc w:val="left"/>
        <w:rPr>
          <w:rFonts w:hint="default" w:eastAsia="仿宋_GB2312"/>
          <w:sz w:val="28"/>
          <w:szCs w:val="28"/>
          <w:lang w:val="en-US" w:eastAsia="zh-CN"/>
        </w:rPr>
      </w:pPr>
    </w:p>
    <w:p>
      <w:pPr>
        <w:spacing w:line="460" w:lineRule="exact"/>
        <w:ind w:firstLine="560" w:firstLineChars="200"/>
        <w:jc w:val="left"/>
        <w:rPr>
          <w:rFonts w:hint="default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6C5D"/>
    <w:rsid w:val="568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2021-03-25T02:17:00Z</dcterms:created>
  <dc:creator>止于至善</dc:creator>
  <cp:lastModifiedBy>止于至善</cp:lastModifiedBy>
  <dcterms:modified xsi:type="dcterms:W3CDTF">2021-03-25T04:42:48Z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