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footer2.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ody>
    <w:p>
      <w:pPr>
        <w:spacing w:line="579" w:lineRule="exact"/>
        <w:jc w:val="center"/>
        <w:rPr>
          <w:rFonts w:ascii="方正小标宋简体" w:eastAsia="方正小标宋简体"/>
          <w:sz w:val="44"/>
          <w:szCs w:val="44"/>
        </w:rPr>
      </w:pPr>
      <w:r>
        <w:rPr>
          <w:rFonts w:ascii="方正小标宋简体" w:eastAsia="方正小标宋简体"/>
          <w:sz w:val="44"/>
          <w:szCs w:val="44"/>
        </w:rPr>
        <w:t>2020</w:t>
      </w:r>
      <w:r>
        <w:rPr>
          <w:rFonts w:ascii="方正小标宋简体" w:eastAsia="方正小标宋简体" w:hint="eastAsia"/>
          <w:sz w:val="44"/>
          <w:szCs w:val="44"/>
        </w:rPr>
        <w:t>年“泛创业鄞州·精英引领计划”</w:t>
      </w:r>
      <w:r>
        <w:rPr>
          <w:rFonts w:ascii="方正小标宋简体" w:eastAsia="方正小标宋简体"/>
          <w:sz w:val="44"/>
          <w:szCs w:val="44"/>
        </w:rPr>
        <w:t>科技服务领域</w:t>
      </w:r>
      <w:r>
        <w:rPr>
          <w:rFonts w:ascii="方正小标宋简体" w:eastAsia="方正小标宋简体" w:hint="eastAsia"/>
          <w:sz w:val="44"/>
          <w:szCs w:val="44"/>
        </w:rPr>
        <w:t>引进高层次人才公告</w:t>
      </w:r>
    </w:p>
    <w:p>
      <w:pPr>
        <w:spacing w:line="579" w:lineRule="exact"/>
        <w:jc w:val="center"/>
        <w:rPr>
          <w:rFonts w:ascii="仿宋_GB2312" w:eastAsia="仿宋_GB2312" w:cs="Arial"/>
          <w:sz w:val="32"/>
          <w:szCs w:val="32"/>
        </w:rPr>
      </w:pPr>
    </w:p>
    <w:p>
      <w:pPr>
        <w:spacing w:line="579" w:lineRule="exact"/>
        <w:ind w:firstLineChars="200" w:firstLine="700"/>
        <w:rPr>
          <w:rFonts w:eastAsia="仿宋_GB2312"/>
          <w:sz w:val="32"/>
          <w:szCs w:val="32"/>
        </w:rPr>
      </w:pPr>
      <w:r>
        <w:rPr>
          <w:rFonts w:ascii="仿宋_GB2312" w:eastAsia="仿宋_GB2312" w:cs="仿宋_GB2312" w:hint="eastAsia"/>
          <w:spacing w:val="15"/>
          <w:kern w:val="0"/>
          <w:sz w:val="32"/>
          <w:szCs w:val="32"/>
        </w:rPr>
        <w:t>为贯彻落实《关于进一步激发人才创业创新活力加快建设国内一流强区的若干意见》</w:t>
      </w:r>
      <w:r>
        <w:rPr>
          <w:rFonts w:ascii="仿宋_GB2312" w:eastAsia="仿宋_GB2312" w:cs="仿宋_GB2312" w:hint="eastAsia"/>
          <w:sz w:val="32"/>
          <w:szCs w:val="32"/>
        </w:rPr>
        <w:t>（鄞党办〔2018〕28号）及《关于实施“泛创业鄞州·精英引领计划”引进支持急需紧缺高层次人才的意见（试行）》</w:t>
      </w:r>
      <w:r>
        <w:rPr>
          <w:rFonts w:ascii="仿宋_GB2312" w:eastAsia="仿宋_GB2312" w:cs="仿宋_GB2312" w:hint="eastAsia"/>
          <w:spacing w:val="15"/>
          <w:kern w:val="0"/>
          <w:sz w:val="32"/>
          <w:szCs w:val="32"/>
        </w:rPr>
        <w:t>文件精神，全力推进“两高四好”示范区建设，引育一批城市经济社会发展急需紧缺的海内外高层次人才，</w:t>
      </w:r>
      <w:r>
        <w:rPr>
          <w:rFonts w:ascii="仿宋_GB2312" w:eastAsia="仿宋_GB2312" w:cs="仿宋_GB2312" w:hint="eastAsia"/>
          <w:sz w:val="32"/>
          <w:szCs w:val="32"/>
        </w:rPr>
        <w:t>现就20</w:t>
      </w:r>
      <w:r>
        <w:rPr>
          <w:rFonts w:ascii="仿宋_GB2312" w:eastAsia="仿宋_GB2312" w:cs="仿宋_GB2312"/>
          <w:sz w:val="32"/>
          <w:szCs w:val="32"/>
        </w:rPr>
        <w:t>20</w:t>
      </w:r>
      <w:r>
        <w:rPr>
          <w:rFonts w:ascii="仿宋_GB2312" w:eastAsia="仿宋_GB2312" w:cs="仿宋_GB2312" w:hint="eastAsia"/>
          <w:sz w:val="32"/>
          <w:szCs w:val="32"/>
        </w:rPr>
        <w:t>年宁波市鄞州区“泛创业鄞州·精英引领计划”引进支持科技服务高层次人才和</w:t>
      </w:r>
      <w:r>
        <w:rPr>
          <w:rFonts w:ascii="仿宋_GB2312" w:eastAsia="仿宋_GB2312" w:cs="仿宋_GB2312"/>
          <w:sz w:val="32"/>
          <w:szCs w:val="32"/>
        </w:rPr>
        <w:t>团队</w:t>
      </w:r>
      <w:r>
        <w:rPr>
          <w:rFonts w:ascii="仿宋_GB2312" w:eastAsia="仿宋_GB2312" w:cs="仿宋_GB2312" w:hint="eastAsia"/>
          <w:sz w:val="32"/>
          <w:szCs w:val="32"/>
        </w:rPr>
        <w:t>有关事项公告如下：</w:t>
      </w:r>
    </w:p>
    <w:p>
      <w:pPr>
        <w:spacing w:line="579" w:lineRule="exact"/>
        <w:ind w:firstLineChars="200" w:firstLine="640"/>
        <w:rPr>
          <w:rFonts w:ascii="黑体" w:eastAsia="黑体"/>
          <w:sz w:val="32"/>
          <w:szCs w:val="32"/>
        </w:rPr>
      </w:pPr>
      <w:r>
        <w:rPr>
          <w:rFonts w:ascii="黑体" w:eastAsia="黑体" w:hint="eastAsia"/>
          <w:sz w:val="32"/>
          <w:szCs w:val="32"/>
        </w:rPr>
        <w:t>一、引进对象和重点</w:t>
      </w:r>
    </w:p>
    <w:p>
      <w:pPr>
        <w:widowControl/>
        <w:shd w:val="clear" w:color="auto" w:fill="FFFFFF"/>
        <w:spacing w:line="579" w:lineRule="exact"/>
        <w:ind w:firstLineChars="200" w:firstLine="640"/>
        <w:jc w:val="left"/>
        <w:textAlignment w:val="baseline"/>
        <w:rPr>
          <w:rFonts w:ascii="仿宋_GB2312" w:eastAsia="仿宋_GB2312"/>
          <w:sz w:val="32"/>
          <w:szCs w:val="32"/>
        </w:rPr>
      </w:pPr>
      <w:r>
        <w:rPr>
          <w:rFonts w:ascii="仿宋_GB2312" w:eastAsia="仿宋_GB2312" w:hint="eastAsia"/>
          <w:sz w:val="32"/>
          <w:szCs w:val="32"/>
        </w:rPr>
        <w:t>紧紧围绕我区五大千亿级主导产业、五大五百亿级优势行业发展方向，</w:t>
      </w:r>
      <w:r>
        <w:rPr>
          <w:rFonts w:ascii="仿宋_GB2312" w:eastAsia="仿宋_GB2312" w:cs="仿宋_GB2312" w:hint="eastAsia"/>
          <w:kern w:val="0"/>
          <w:sz w:val="32"/>
          <w:szCs w:val="32"/>
        </w:rPr>
        <w:t>深入实施“人才强区”战略，</w:t>
      </w:r>
      <w:r>
        <w:rPr>
          <w:rFonts w:ascii="仿宋_GB2312" w:eastAsia="仿宋_GB2312"/>
          <w:sz w:val="32"/>
          <w:szCs w:val="32"/>
        </w:rPr>
        <w:t>面向海内外引进研发设计服务、检验检测认证服务、技术转移转化服务、知识产权服务、科技金融服务、创业孵化服务和科技咨询服务等七大科技服务领域高层次创业创新人才和团队，提高</w:t>
      </w:r>
      <w:r>
        <w:rPr>
          <w:rFonts w:ascii="仿宋_GB2312" w:eastAsia="仿宋_GB2312" w:hint="eastAsia"/>
          <w:sz w:val="32"/>
          <w:szCs w:val="32"/>
        </w:rPr>
        <w:t>鄞州区</w:t>
      </w:r>
      <w:r>
        <w:rPr>
          <w:rFonts w:ascii="仿宋_GB2312" w:eastAsia="仿宋_GB2312"/>
          <w:sz w:val="32"/>
          <w:szCs w:val="32"/>
        </w:rPr>
        <w:t>科技服务水平、引领产业创新发展。</w:t>
      </w:r>
    </w:p>
    <w:tbl>
      <w:tblPr>
        <w:jc w:val="center"/>
        <w:tblW w:w="9055" w:type="dxa"/>
        <w:tblBorders>
          <w:top w:val="single" w:sz="6" w:space="0" w:color="auto"/>
          <w:left w:val="single" w:sz="6" w:space="0" w:color="auto"/>
          <w:bottom w:val="single" w:sz="6" w:space="0" w:color="auto"/>
          <w:right w:val="single" w:sz="6" w:space="0" w:color="auto"/>
        </w:tblBorders>
        <w:tblLayout w:type="fixed"/>
        <w:tblCellMar>
          <w:top w:w="0" w:type="dxa"/>
          <w:left w:w="0" w:type="dxa"/>
          <w:bottom w:w="0" w:type="dxa"/>
          <w:right w:w="0" w:type="dxa"/>
        </w:tblCellMar>
      </w:tblPr>
      <w:tblGrid>
        <w:gridCol w:w="870"/>
        <w:gridCol w:w="2713"/>
        <w:gridCol w:w="5472"/>
      </w:tblGrid>
      <w:tr>
        <w:trPr>
          <w:trHeight w:val="510"/>
          <w:tblHeader/>
        </w:trPr>
        <w:tc>
          <w:tcPr>
            <w:tcW w:w="870" w:type="dxa"/>
            <w:tcBorders>
              <w:top w:val="single" w:sz="8" w:space="0" w:color="000000"/>
              <w:left w:val="single" w:sz="8" w:space="0" w:color="000000"/>
              <w:bottom w:val="single" w:sz="8" w:space="0" w:color="000000"/>
              <w:right w:val="single" w:sz="8" w:space="0" w:color="000000"/>
            </w:tcBorders>
            <w:tcMar>
              <w:left w:w="105" w:type="dxa"/>
              <w:right w:w="105" w:type="dxa"/>
            </w:tcMar>
            <w:vAlign w:val="center"/>
          </w:tcPr>
          <w:p>
            <w:pPr>
              <w:widowControl/>
              <w:spacing w:line="579" w:lineRule="exact"/>
              <w:jc w:val="center"/>
              <w:textAlignment w:val="baseline"/>
              <w:rPr>
                <w:rFonts w:ascii="仿宋_GB2312" w:eastAsia="仿宋_GB2312"/>
                <w:sz w:val="24"/>
              </w:rPr>
            </w:pPr>
            <w:r>
              <w:rPr>
                <w:rFonts w:ascii="仿宋_GB2312" w:eastAsia="仿宋_GB2312" w:hint="eastAsia"/>
                <w:sz w:val="24"/>
              </w:rPr>
              <w:t>序号</w:t>
            </w:r>
          </w:p>
        </w:tc>
        <w:tc>
          <w:tcPr>
            <w:tcW w:w="2713" w:type="dxa"/>
            <w:tcBorders>
              <w:top w:val="single" w:sz="8" w:space="0" w:color="000000"/>
              <w:left w:val="nil"/>
              <w:bottom w:val="single" w:sz="8" w:space="0" w:color="000000"/>
              <w:right w:val="single" w:sz="8" w:space="0" w:color="000000"/>
            </w:tcBorders>
            <w:tcMar>
              <w:left w:w="105" w:type="dxa"/>
              <w:right w:w="105" w:type="dxa"/>
            </w:tcMar>
            <w:vAlign w:val="center"/>
          </w:tcPr>
          <w:p>
            <w:pPr>
              <w:widowControl/>
              <w:spacing w:line="579" w:lineRule="exact"/>
              <w:jc w:val="center"/>
              <w:textAlignment w:val="baseline"/>
              <w:rPr>
                <w:rFonts w:ascii="仿宋_GB2312" w:eastAsia="仿宋_GB2312"/>
                <w:sz w:val="24"/>
              </w:rPr>
            </w:pPr>
            <w:r>
              <w:rPr>
                <w:rFonts w:ascii="仿宋_GB2312" w:eastAsia="仿宋_GB2312" w:hint="eastAsia"/>
                <w:sz w:val="24"/>
              </w:rPr>
              <w:t>重点领域</w:t>
            </w:r>
          </w:p>
        </w:tc>
        <w:tc>
          <w:tcPr>
            <w:tcW w:w="5472" w:type="dxa"/>
            <w:tcBorders>
              <w:top w:val="single" w:sz="8" w:space="0" w:color="000000"/>
              <w:left w:val="nil"/>
              <w:bottom w:val="single" w:sz="8" w:space="0" w:color="000000"/>
              <w:right w:val="single" w:sz="8" w:space="0" w:color="000000"/>
            </w:tcBorders>
            <w:tcMar>
              <w:left w:w="105" w:type="dxa"/>
              <w:right w:w="105" w:type="dxa"/>
            </w:tcMar>
            <w:vAlign w:val="center"/>
          </w:tcPr>
          <w:p>
            <w:pPr>
              <w:widowControl/>
              <w:spacing w:line="579" w:lineRule="exact"/>
              <w:jc w:val="center"/>
              <w:textAlignment w:val="baseline"/>
              <w:rPr>
                <w:rFonts w:ascii="仿宋_GB2312" w:eastAsia="仿宋_GB2312"/>
                <w:sz w:val="24"/>
              </w:rPr>
            </w:pPr>
            <w:r>
              <w:rPr>
                <w:rFonts w:ascii="仿宋_GB2312" w:eastAsia="仿宋_GB2312" w:hint="eastAsia"/>
                <w:sz w:val="24"/>
              </w:rPr>
              <w:t>服务方向</w:t>
            </w:r>
          </w:p>
        </w:tc>
      </w:tr>
      <w:tr>
        <w:trPr>
          <w:trHeight w:val="570"/>
        </w:trPr>
        <w:tc>
          <w:tcPr>
            <w:tcW w:w="870" w:type="dxa"/>
            <w:tcBorders>
              <w:top w:val="nil"/>
              <w:left w:val="single" w:sz="8" w:space="0" w:color="000000"/>
              <w:bottom w:val="single" w:sz="8" w:space="0" w:color="000000"/>
              <w:right w:val="single" w:sz="8" w:space="0" w:color="000000"/>
            </w:tcBorders>
            <w:tcMar>
              <w:left w:w="105" w:type="dxa"/>
              <w:right w:w="105" w:type="dxa"/>
            </w:tcMar>
            <w:vAlign w:val="center"/>
          </w:tcPr>
          <w:p>
            <w:pPr>
              <w:widowControl/>
              <w:spacing w:line="579" w:lineRule="exact"/>
              <w:jc w:val="center"/>
              <w:textAlignment w:val="baseline"/>
              <w:rPr>
                <w:rFonts w:ascii="仿宋_GB2312" w:eastAsia="仿宋_GB2312"/>
                <w:sz w:val="24"/>
              </w:rPr>
            </w:pPr>
            <w:r>
              <w:rPr>
                <w:rFonts w:ascii="仿宋_GB2312" w:eastAsia="仿宋_GB2312"/>
                <w:sz w:val="24"/>
              </w:rPr>
              <w:t>1</w:t>
            </w:r>
          </w:p>
        </w:tc>
        <w:tc>
          <w:tcPr>
            <w:tcW w:w="2713" w:type="dxa"/>
            <w:tcBorders>
              <w:top w:val="nil"/>
              <w:left w:val="nil"/>
              <w:bottom w:val="single" w:sz="8" w:space="0" w:color="000000"/>
              <w:right w:val="single" w:sz="8" w:space="0" w:color="000000"/>
            </w:tcBorders>
            <w:tcMar>
              <w:left w:w="105" w:type="dxa"/>
              <w:right w:w="105" w:type="dxa"/>
            </w:tcMar>
            <w:vAlign w:val="center"/>
          </w:tcPr>
          <w:p>
            <w:pPr>
              <w:widowControl/>
              <w:spacing w:line="579" w:lineRule="exact"/>
              <w:jc w:val="center"/>
              <w:textAlignment w:val="baseline"/>
              <w:rPr>
                <w:rFonts w:ascii="仿宋_GB2312" w:eastAsia="仿宋_GB2312"/>
                <w:sz w:val="24"/>
              </w:rPr>
            </w:pPr>
            <w:r>
              <w:rPr>
                <w:rFonts w:ascii="仿宋_GB2312" w:eastAsia="仿宋_GB2312" w:hint="eastAsia"/>
                <w:sz w:val="24"/>
              </w:rPr>
              <w:t>研发设计服务</w:t>
            </w:r>
          </w:p>
        </w:tc>
        <w:tc>
          <w:tcPr>
            <w:tcW w:w="5472" w:type="dxa"/>
            <w:tcBorders>
              <w:top w:val="nil"/>
              <w:left w:val="nil"/>
              <w:bottom w:val="single" w:sz="8" w:space="0" w:color="000000"/>
              <w:right w:val="single" w:sz="8" w:space="0" w:color="000000"/>
            </w:tcBorders>
            <w:tcMar>
              <w:left w:w="105" w:type="dxa"/>
              <w:right w:w="105" w:type="dxa"/>
            </w:tcMar>
            <w:vAlign w:val="center"/>
          </w:tcPr>
          <w:p>
            <w:pPr>
              <w:widowControl/>
              <w:spacing w:line="579" w:lineRule="exact"/>
              <w:jc w:val="center"/>
              <w:textAlignment w:val="baseline"/>
              <w:rPr>
                <w:rFonts w:ascii="仿宋_GB2312" w:eastAsia="仿宋_GB2312"/>
                <w:sz w:val="24"/>
              </w:rPr>
            </w:pPr>
            <w:r>
              <w:rPr>
                <w:rFonts w:ascii="仿宋_GB2312" w:eastAsia="仿宋_GB2312" w:hint="eastAsia"/>
                <w:sz w:val="24"/>
              </w:rPr>
              <w:t>面向产业提供专业化的应用基础研究。</w:t>
            </w:r>
          </w:p>
        </w:tc>
      </w:tr>
      <w:tr>
        <w:trPr>
          <w:trHeight w:val="570"/>
        </w:trPr>
        <w:tc>
          <w:tcPr>
            <w:tcW w:w="870" w:type="dxa"/>
            <w:tcBorders>
              <w:top w:val="nil"/>
              <w:left w:val="single" w:sz="8" w:space="0" w:color="000000"/>
              <w:bottom w:val="single" w:sz="8" w:space="0" w:color="000000"/>
              <w:right w:val="single" w:sz="8" w:space="0" w:color="000000"/>
            </w:tcBorders>
            <w:tcMar>
              <w:left w:w="105" w:type="dxa"/>
              <w:right w:w="105" w:type="dxa"/>
            </w:tcMar>
            <w:vAlign w:val="center"/>
          </w:tcPr>
          <w:p>
            <w:pPr>
              <w:widowControl/>
              <w:spacing w:line="579" w:lineRule="exact"/>
              <w:jc w:val="center"/>
              <w:textAlignment w:val="baseline"/>
              <w:rPr>
                <w:rFonts w:ascii="仿宋_GB2312" w:eastAsia="仿宋_GB2312"/>
                <w:sz w:val="24"/>
              </w:rPr>
            </w:pPr>
            <w:r>
              <w:rPr>
                <w:rFonts w:ascii="仿宋_GB2312" w:eastAsia="仿宋_GB2312"/>
                <w:sz w:val="24"/>
              </w:rPr>
              <w:t>2</w:t>
            </w:r>
          </w:p>
        </w:tc>
        <w:tc>
          <w:tcPr>
            <w:tcW w:w="2713" w:type="dxa"/>
            <w:tcBorders>
              <w:top w:val="nil"/>
              <w:left w:val="nil"/>
              <w:bottom w:val="single" w:sz="8" w:space="0" w:color="000000"/>
              <w:right w:val="single" w:sz="8" w:space="0" w:color="000000"/>
            </w:tcBorders>
            <w:tcMar>
              <w:left w:w="105" w:type="dxa"/>
              <w:right w:w="105" w:type="dxa"/>
            </w:tcMar>
            <w:vAlign w:val="center"/>
          </w:tcPr>
          <w:p>
            <w:pPr>
              <w:widowControl/>
              <w:spacing w:line="579" w:lineRule="exact"/>
              <w:jc w:val="center"/>
              <w:textAlignment w:val="baseline"/>
              <w:rPr>
                <w:rFonts w:ascii="仿宋_GB2312" w:eastAsia="仿宋_GB2312"/>
                <w:sz w:val="24"/>
              </w:rPr>
            </w:pPr>
            <w:r>
              <w:rPr>
                <w:rFonts w:ascii="仿宋_GB2312" w:eastAsia="仿宋_GB2312" w:hint="eastAsia"/>
                <w:sz w:val="24"/>
              </w:rPr>
              <w:t>检验检测认证服务</w:t>
            </w:r>
          </w:p>
        </w:tc>
        <w:tc>
          <w:tcPr>
            <w:tcW w:w="5472" w:type="dxa"/>
            <w:tcBorders>
              <w:top w:val="nil"/>
              <w:left w:val="nil"/>
              <w:bottom w:val="single" w:sz="8" w:space="0" w:color="000000"/>
              <w:right w:val="single" w:sz="8" w:space="0" w:color="000000"/>
            </w:tcBorders>
            <w:tcMar>
              <w:left w:w="105" w:type="dxa"/>
              <w:right w:w="105" w:type="dxa"/>
            </w:tcMar>
            <w:vAlign w:val="center"/>
          </w:tcPr>
          <w:p>
            <w:pPr>
              <w:widowControl/>
              <w:spacing w:line="579" w:lineRule="exact"/>
              <w:jc w:val="center"/>
              <w:textAlignment w:val="baseline"/>
              <w:rPr>
                <w:rFonts w:ascii="仿宋_GB2312" w:eastAsia="仿宋_GB2312"/>
                <w:sz w:val="24"/>
              </w:rPr>
            </w:pPr>
            <w:r>
              <w:rPr>
                <w:rFonts w:ascii="仿宋_GB2312" w:eastAsia="仿宋_GB2312" w:hint="eastAsia"/>
                <w:sz w:val="24"/>
              </w:rPr>
              <w:t>面向设计开发、生产制造、售后服务提供分析、测试、检验、计量等服务。</w:t>
            </w:r>
          </w:p>
        </w:tc>
      </w:tr>
      <w:tr>
        <w:trPr>
          <w:trHeight w:val="570"/>
        </w:trPr>
        <w:tc>
          <w:tcPr>
            <w:tcW w:w="870" w:type="dxa"/>
            <w:tcBorders>
              <w:top w:val="nil"/>
              <w:left w:val="single" w:sz="8" w:space="0" w:color="000000"/>
              <w:bottom w:val="single" w:sz="8" w:space="0" w:color="000000"/>
              <w:right w:val="single" w:sz="8" w:space="0" w:color="000000"/>
            </w:tcBorders>
            <w:tcMar>
              <w:left w:w="105" w:type="dxa"/>
              <w:right w:w="105" w:type="dxa"/>
            </w:tcMar>
            <w:vAlign w:val="center"/>
          </w:tcPr>
          <w:p>
            <w:pPr>
              <w:widowControl/>
              <w:spacing w:line="579" w:lineRule="exact"/>
              <w:jc w:val="center"/>
              <w:textAlignment w:val="baseline"/>
              <w:rPr>
                <w:rFonts w:ascii="仿宋_GB2312" w:eastAsia="仿宋_GB2312"/>
                <w:sz w:val="24"/>
              </w:rPr>
            </w:pPr>
            <w:r>
              <w:rPr>
                <w:rFonts w:ascii="仿宋_GB2312" w:eastAsia="仿宋_GB2312"/>
                <w:sz w:val="24"/>
              </w:rPr>
              <w:t>3</w:t>
            </w:r>
          </w:p>
        </w:tc>
        <w:tc>
          <w:tcPr>
            <w:tcW w:w="2713" w:type="dxa"/>
            <w:tcBorders>
              <w:top w:val="nil"/>
              <w:left w:val="nil"/>
              <w:bottom w:val="single" w:sz="8" w:space="0" w:color="000000"/>
              <w:right w:val="single" w:sz="8" w:space="0" w:color="000000"/>
            </w:tcBorders>
            <w:tcMar>
              <w:left w:w="105" w:type="dxa"/>
              <w:right w:w="105" w:type="dxa"/>
            </w:tcMar>
            <w:vAlign w:val="center"/>
          </w:tcPr>
          <w:p>
            <w:pPr>
              <w:widowControl/>
              <w:spacing w:line="579" w:lineRule="exact"/>
              <w:jc w:val="center"/>
              <w:textAlignment w:val="baseline"/>
              <w:rPr>
                <w:rFonts w:ascii="仿宋_GB2312" w:eastAsia="仿宋_GB2312"/>
                <w:sz w:val="24"/>
              </w:rPr>
            </w:pPr>
            <w:r>
              <w:rPr>
                <w:rFonts w:ascii="仿宋_GB2312" w:eastAsia="仿宋_GB2312" w:hint="eastAsia"/>
                <w:sz w:val="24"/>
              </w:rPr>
              <w:t>技术转移转化服务</w:t>
            </w:r>
          </w:p>
        </w:tc>
        <w:tc>
          <w:tcPr>
            <w:tcW w:w="5472" w:type="dxa"/>
            <w:tcBorders>
              <w:top w:val="nil"/>
              <w:left w:val="nil"/>
              <w:bottom w:val="single" w:sz="8" w:space="0" w:color="000000"/>
              <w:right w:val="single" w:sz="8" w:space="0" w:color="000000"/>
            </w:tcBorders>
            <w:tcMar>
              <w:left w:w="105" w:type="dxa"/>
              <w:right w:w="105" w:type="dxa"/>
            </w:tcMar>
            <w:vAlign w:val="center"/>
          </w:tcPr>
          <w:p>
            <w:pPr>
              <w:widowControl/>
              <w:spacing w:line="579" w:lineRule="exact"/>
              <w:jc w:val="center"/>
              <w:textAlignment w:val="baseline"/>
              <w:rPr>
                <w:rFonts w:ascii="仿宋_GB2312" w:eastAsia="仿宋_GB2312"/>
                <w:sz w:val="24"/>
              </w:rPr>
            </w:pPr>
            <w:r>
              <w:rPr>
                <w:rFonts w:ascii="仿宋_GB2312" w:eastAsia="仿宋_GB2312" w:hint="eastAsia"/>
                <w:sz w:val="24"/>
              </w:rPr>
              <w:t>提供跨领域、跨区域、全过程的技术转移集成服务。</w:t>
            </w:r>
          </w:p>
        </w:tc>
      </w:tr>
      <w:tr>
        <w:trPr>
          <w:trHeight w:val="570"/>
        </w:trPr>
        <w:tc>
          <w:tcPr>
            <w:tcW w:w="870" w:type="dxa"/>
            <w:tcBorders>
              <w:top w:val="nil"/>
              <w:left w:val="single" w:sz="8" w:space="0" w:color="000000"/>
              <w:bottom w:val="single" w:sz="8" w:space="0" w:color="000000"/>
              <w:right w:val="single" w:sz="8" w:space="0" w:color="000000"/>
            </w:tcBorders>
            <w:tcMar>
              <w:left w:w="105" w:type="dxa"/>
              <w:right w:w="105" w:type="dxa"/>
            </w:tcMar>
            <w:vAlign w:val="center"/>
          </w:tcPr>
          <w:p>
            <w:pPr>
              <w:widowControl/>
              <w:spacing w:line="579" w:lineRule="exact"/>
              <w:jc w:val="center"/>
              <w:textAlignment w:val="baseline"/>
              <w:rPr>
                <w:rFonts w:ascii="仿宋_GB2312" w:eastAsia="仿宋_GB2312"/>
                <w:sz w:val="24"/>
              </w:rPr>
            </w:pPr>
            <w:r>
              <w:rPr>
                <w:rFonts w:ascii="仿宋_GB2312" w:eastAsia="仿宋_GB2312"/>
                <w:sz w:val="24"/>
              </w:rPr>
              <w:t>4</w:t>
            </w:r>
          </w:p>
        </w:tc>
        <w:tc>
          <w:tcPr>
            <w:tcW w:w="2713" w:type="dxa"/>
            <w:tcBorders>
              <w:top w:val="nil"/>
              <w:left w:val="nil"/>
              <w:bottom w:val="single" w:sz="8" w:space="0" w:color="000000"/>
              <w:right w:val="single" w:sz="8" w:space="0" w:color="000000"/>
            </w:tcBorders>
            <w:tcMar>
              <w:left w:w="105" w:type="dxa"/>
              <w:right w:w="105" w:type="dxa"/>
            </w:tcMar>
            <w:vAlign w:val="center"/>
          </w:tcPr>
          <w:p>
            <w:pPr>
              <w:widowControl/>
              <w:spacing w:line="579" w:lineRule="exact"/>
              <w:jc w:val="center"/>
              <w:textAlignment w:val="baseline"/>
              <w:rPr>
                <w:rFonts w:ascii="仿宋_GB2312" w:eastAsia="仿宋_GB2312"/>
                <w:sz w:val="24"/>
              </w:rPr>
            </w:pPr>
            <w:r>
              <w:rPr>
                <w:rFonts w:ascii="仿宋_GB2312" w:eastAsia="仿宋_GB2312" w:hint="eastAsia"/>
                <w:sz w:val="24"/>
              </w:rPr>
              <w:t>知识产权服务</w:t>
            </w:r>
          </w:p>
        </w:tc>
        <w:tc>
          <w:tcPr>
            <w:tcW w:w="5472" w:type="dxa"/>
            <w:tcBorders>
              <w:top w:val="nil"/>
              <w:left w:val="nil"/>
              <w:bottom w:val="single" w:sz="8" w:space="0" w:color="000000"/>
              <w:right w:val="single" w:sz="8" w:space="0" w:color="000000"/>
            </w:tcBorders>
            <w:tcMar>
              <w:left w:w="105" w:type="dxa"/>
              <w:right w:w="105" w:type="dxa"/>
            </w:tcMar>
            <w:vAlign w:val="center"/>
          </w:tcPr>
          <w:p>
            <w:pPr>
              <w:widowControl/>
              <w:spacing w:line="579" w:lineRule="exact"/>
              <w:jc w:val="center"/>
              <w:textAlignment w:val="baseline"/>
              <w:rPr>
                <w:rFonts w:ascii="仿宋_GB2312" w:eastAsia="仿宋_GB2312"/>
                <w:sz w:val="24"/>
              </w:rPr>
            </w:pPr>
            <w:r>
              <w:rPr>
                <w:rFonts w:ascii="仿宋_GB2312" w:eastAsia="仿宋_GB2312" w:hint="eastAsia"/>
                <w:sz w:val="24"/>
              </w:rPr>
              <w:t>提供知识产权代理、咨询、检索、分析、数据加工等基础服务和评估、交易、转化、投融资等增值服务。</w:t>
            </w:r>
          </w:p>
        </w:tc>
      </w:tr>
      <w:tr>
        <w:trPr>
          <w:trHeight w:val="705"/>
        </w:trPr>
        <w:tc>
          <w:tcPr>
            <w:tcW w:w="870" w:type="dxa"/>
            <w:tcBorders>
              <w:top w:val="nil"/>
              <w:left w:val="single" w:sz="8" w:space="0" w:color="000000"/>
              <w:bottom w:val="single" w:sz="8" w:space="0" w:color="000000"/>
              <w:right w:val="single" w:sz="8" w:space="0" w:color="000000"/>
            </w:tcBorders>
            <w:tcMar>
              <w:left w:w="105" w:type="dxa"/>
              <w:right w:w="105" w:type="dxa"/>
            </w:tcMar>
            <w:vAlign w:val="center"/>
          </w:tcPr>
          <w:p>
            <w:pPr>
              <w:widowControl/>
              <w:spacing w:line="579" w:lineRule="exact"/>
              <w:jc w:val="center"/>
              <w:textAlignment w:val="baseline"/>
              <w:rPr>
                <w:rFonts w:ascii="仿宋_GB2312" w:eastAsia="仿宋_GB2312"/>
                <w:sz w:val="24"/>
              </w:rPr>
            </w:pPr>
            <w:r>
              <w:rPr>
                <w:rFonts w:ascii="仿宋_GB2312" w:eastAsia="仿宋_GB2312"/>
                <w:sz w:val="24"/>
              </w:rPr>
              <w:t>5</w:t>
            </w:r>
          </w:p>
        </w:tc>
        <w:tc>
          <w:tcPr>
            <w:tcW w:w="2713" w:type="dxa"/>
            <w:tcBorders>
              <w:top w:val="nil"/>
              <w:left w:val="nil"/>
              <w:bottom w:val="single" w:sz="8" w:space="0" w:color="000000"/>
              <w:right w:val="single" w:sz="8" w:space="0" w:color="000000"/>
            </w:tcBorders>
            <w:tcMar>
              <w:left w:w="105" w:type="dxa"/>
              <w:right w:w="105" w:type="dxa"/>
            </w:tcMar>
            <w:vAlign w:val="center"/>
          </w:tcPr>
          <w:p>
            <w:pPr>
              <w:widowControl/>
              <w:spacing w:line="579" w:lineRule="exact"/>
              <w:jc w:val="center"/>
              <w:textAlignment w:val="baseline"/>
              <w:rPr>
                <w:rFonts w:ascii="仿宋_GB2312" w:eastAsia="仿宋_GB2312"/>
                <w:sz w:val="24"/>
              </w:rPr>
            </w:pPr>
            <w:r>
              <w:rPr>
                <w:rFonts w:ascii="仿宋_GB2312" w:eastAsia="仿宋_GB2312" w:hint="eastAsia"/>
                <w:sz w:val="24"/>
              </w:rPr>
              <w:t>科技金融服务</w:t>
            </w:r>
          </w:p>
        </w:tc>
        <w:tc>
          <w:tcPr>
            <w:tcW w:w="5472" w:type="dxa"/>
            <w:tcBorders>
              <w:top w:val="nil"/>
              <w:left w:val="nil"/>
              <w:bottom w:val="single" w:sz="8" w:space="0" w:color="000000"/>
              <w:right w:val="single" w:sz="8" w:space="0" w:color="000000"/>
            </w:tcBorders>
            <w:tcMar>
              <w:left w:w="105" w:type="dxa"/>
              <w:right w:w="105" w:type="dxa"/>
            </w:tcMar>
            <w:vAlign w:val="center"/>
          </w:tcPr>
          <w:p>
            <w:pPr>
              <w:widowControl/>
              <w:spacing w:line="579" w:lineRule="exact"/>
              <w:jc w:val="center"/>
              <w:textAlignment w:val="baseline"/>
              <w:rPr>
                <w:rFonts w:ascii="仿宋_GB2312" w:eastAsia="仿宋_GB2312"/>
                <w:sz w:val="24"/>
              </w:rPr>
            </w:pPr>
            <w:r>
              <w:rPr>
                <w:rFonts w:ascii="仿宋_GB2312" w:eastAsia="仿宋_GB2312" w:hint="eastAsia"/>
                <w:sz w:val="24"/>
              </w:rPr>
              <w:t>开展科技保险、科技担保、知识产权质押等服务。</w:t>
            </w:r>
          </w:p>
        </w:tc>
      </w:tr>
      <w:tr>
        <w:trPr>
          <w:trHeight w:val="570"/>
        </w:trPr>
        <w:tc>
          <w:tcPr>
            <w:tcW w:w="870" w:type="dxa"/>
            <w:tcBorders>
              <w:top w:val="nil"/>
              <w:left w:val="single" w:sz="8" w:space="0" w:color="000000"/>
              <w:bottom w:val="single" w:sz="8" w:space="0" w:color="000000"/>
              <w:right w:val="single" w:sz="8" w:space="0" w:color="000000"/>
            </w:tcBorders>
            <w:tcMar>
              <w:left w:w="105" w:type="dxa"/>
              <w:right w:w="105" w:type="dxa"/>
            </w:tcMar>
            <w:vAlign w:val="center"/>
          </w:tcPr>
          <w:p>
            <w:pPr>
              <w:widowControl/>
              <w:spacing w:line="579" w:lineRule="exact"/>
              <w:jc w:val="center"/>
              <w:textAlignment w:val="baseline"/>
              <w:rPr>
                <w:rFonts w:ascii="仿宋_GB2312" w:eastAsia="仿宋_GB2312"/>
                <w:sz w:val="24"/>
              </w:rPr>
            </w:pPr>
            <w:r>
              <w:rPr>
                <w:rFonts w:ascii="仿宋_GB2312" w:eastAsia="仿宋_GB2312"/>
                <w:sz w:val="24"/>
              </w:rPr>
              <w:t>6</w:t>
            </w:r>
          </w:p>
        </w:tc>
        <w:tc>
          <w:tcPr>
            <w:tcW w:w="2713" w:type="dxa"/>
            <w:tcBorders>
              <w:top w:val="nil"/>
              <w:left w:val="nil"/>
              <w:bottom w:val="single" w:sz="8" w:space="0" w:color="000000"/>
              <w:right w:val="single" w:sz="8" w:space="0" w:color="000000"/>
            </w:tcBorders>
            <w:tcMar>
              <w:left w:w="105" w:type="dxa"/>
              <w:right w:w="105" w:type="dxa"/>
            </w:tcMar>
            <w:vAlign w:val="center"/>
          </w:tcPr>
          <w:p>
            <w:pPr>
              <w:widowControl/>
              <w:spacing w:line="579" w:lineRule="exact"/>
              <w:jc w:val="center"/>
              <w:textAlignment w:val="baseline"/>
              <w:rPr>
                <w:rFonts w:ascii="仿宋_GB2312" w:eastAsia="仿宋_GB2312"/>
                <w:sz w:val="24"/>
              </w:rPr>
            </w:pPr>
            <w:r>
              <w:rPr>
                <w:rFonts w:ascii="仿宋_GB2312" w:eastAsia="仿宋_GB2312" w:hint="eastAsia"/>
                <w:sz w:val="24"/>
              </w:rPr>
              <w:t>创业孵化服务</w:t>
            </w:r>
          </w:p>
        </w:tc>
        <w:tc>
          <w:tcPr>
            <w:tcW w:w="5472" w:type="dxa"/>
            <w:tcBorders>
              <w:top w:val="nil"/>
              <w:left w:val="nil"/>
              <w:bottom w:val="single" w:sz="8" w:space="0" w:color="000000"/>
              <w:right w:val="single" w:sz="8" w:space="0" w:color="000000"/>
            </w:tcBorders>
            <w:tcMar>
              <w:left w:w="105" w:type="dxa"/>
              <w:right w:w="105" w:type="dxa"/>
            </w:tcMar>
            <w:vAlign w:val="center"/>
          </w:tcPr>
          <w:p>
            <w:pPr>
              <w:widowControl/>
              <w:spacing w:line="579" w:lineRule="exact"/>
              <w:jc w:val="center"/>
              <w:textAlignment w:val="baseline"/>
              <w:rPr>
                <w:rFonts w:ascii="仿宋_GB2312" w:eastAsia="仿宋_GB2312"/>
                <w:sz w:val="24"/>
              </w:rPr>
            </w:pPr>
            <w:r>
              <w:rPr>
                <w:rFonts w:ascii="仿宋_GB2312" w:eastAsia="仿宋_GB2312" w:hint="eastAsia"/>
                <w:sz w:val="24"/>
              </w:rPr>
              <w:t>以构建专业孵化器和创新型孵化器为重点，提升孵化培育新兴产业的服务能力。</w:t>
            </w:r>
          </w:p>
        </w:tc>
      </w:tr>
      <w:tr>
        <w:trPr>
          <w:trHeight w:val="570"/>
        </w:trPr>
        <w:tc>
          <w:tcPr>
            <w:tcW w:w="870" w:type="dxa"/>
            <w:tcBorders>
              <w:top w:val="nil"/>
              <w:left w:val="single" w:sz="8" w:space="0" w:color="000000"/>
              <w:bottom w:val="single" w:sz="8" w:space="0" w:color="000000"/>
              <w:right w:val="single" w:sz="8" w:space="0" w:color="000000"/>
            </w:tcBorders>
            <w:tcMar>
              <w:left w:w="105" w:type="dxa"/>
              <w:right w:w="105" w:type="dxa"/>
            </w:tcMar>
            <w:vAlign w:val="center"/>
          </w:tcPr>
          <w:p>
            <w:pPr>
              <w:widowControl/>
              <w:spacing w:line="579" w:lineRule="exact"/>
              <w:jc w:val="center"/>
              <w:textAlignment w:val="baseline"/>
              <w:rPr>
                <w:rFonts w:ascii="仿宋_GB2312" w:eastAsia="仿宋_GB2312"/>
                <w:sz w:val="24"/>
              </w:rPr>
            </w:pPr>
            <w:r>
              <w:rPr>
                <w:rFonts w:ascii="仿宋_GB2312" w:eastAsia="仿宋_GB2312"/>
                <w:sz w:val="24"/>
              </w:rPr>
              <w:t>7</w:t>
            </w:r>
          </w:p>
        </w:tc>
        <w:tc>
          <w:tcPr>
            <w:tcW w:w="2713" w:type="dxa"/>
            <w:tcBorders>
              <w:top w:val="nil"/>
              <w:left w:val="nil"/>
              <w:bottom w:val="single" w:sz="8" w:space="0" w:color="000000"/>
              <w:right w:val="single" w:sz="8" w:space="0" w:color="000000"/>
            </w:tcBorders>
            <w:tcMar>
              <w:left w:w="105" w:type="dxa"/>
              <w:right w:w="105" w:type="dxa"/>
            </w:tcMar>
            <w:vAlign w:val="center"/>
          </w:tcPr>
          <w:p>
            <w:pPr>
              <w:widowControl/>
              <w:spacing w:line="579" w:lineRule="exact"/>
              <w:jc w:val="center"/>
              <w:textAlignment w:val="baseline"/>
              <w:rPr>
                <w:rFonts w:ascii="仿宋_GB2312" w:eastAsia="仿宋_GB2312"/>
                <w:sz w:val="24"/>
              </w:rPr>
            </w:pPr>
            <w:r>
              <w:rPr>
                <w:rFonts w:ascii="仿宋_GB2312" w:eastAsia="仿宋_GB2312" w:hint="eastAsia"/>
                <w:sz w:val="24"/>
              </w:rPr>
              <w:t>科技咨询服务</w:t>
            </w:r>
          </w:p>
        </w:tc>
        <w:tc>
          <w:tcPr>
            <w:tcW w:w="5472" w:type="dxa"/>
            <w:tcBorders>
              <w:top w:val="nil"/>
              <w:left w:val="nil"/>
              <w:bottom w:val="single" w:sz="8" w:space="0" w:color="000000"/>
              <w:right w:val="single" w:sz="8" w:space="0" w:color="000000"/>
            </w:tcBorders>
            <w:tcMar>
              <w:left w:w="105" w:type="dxa"/>
              <w:right w:w="105" w:type="dxa"/>
            </w:tcMar>
            <w:vAlign w:val="center"/>
          </w:tcPr>
          <w:p>
            <w:pPr>
              <w:widowControl/>
              <w:spacing w:line="579" w:lineRule="exact"/>
              <w:jc w:val="center"/>
              <w:textAlignment w:val="baseline"/>
              <w:rPr>
                <w:rFonts w:ascii="仿宋_GB2312" w:eastAsia="仿宋_GB2312"/>
                <w:sz w:val="24"/>
              </w:rPr>
            </w:pPr>
            <w:r>
              <w:rPr>
                <w:rFonts w:ascii="仿宋_GB2312" w:eastAsia="仿宋_GB2312" w:hint="eastAsia"/>
                <w:sz w:val="24"/>
              </w:rPr>
              <w:t>结合大数据、云计算、移动互联网等现代信息技术，提供科技战略研究、科技评估、科技情报分析等专业的科技信息服务。</w:t>
            </w:r>
          </w:p>
        </w:tc>
      </w:tr>
    </w:tbl>
    <w:p>
      <w:pPr>
        <w:spacing w:line="579" w:lineRule="exact"/>
        <w:ind w:firstLineChars="200" w:firstLine="640"/>
        <w:rPr>
          <w:rFonts w:ascii="仿宋_GB2312" w:eastAsia="仿宋_GB2312"/>
          <w:sz w:val="32"/>
          <w:szCs w:val="32"/>
        </w:rPr>
      </w:pPr>
    </w:p>
    <w:p>
      <w:pPr>
        <w:spacing w:line="579" w:lineRule="exact"/>
        <w:ind w:firstLineChars="200" w:firstLine="640"/>
        <w:rPr>
          <w:rFonts w:ascii="黑体" w:eastAsia="黑体"/>
          <w:sz w:val="32"/>
          <w:szCs w:val="32"/>
        </w:rPr>
      </w:pPr>
      <w:r>
        <w:rPr>
          <w:rFonts w:ascii="黑体" w:eastAsia="黑体" w:hint="eastAsia"/>
          <w:sz w:val="32"/>
          <w:szCs w:val="32"/>
        </w:rPr>
        <w:t>二、申报类型</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泛创业鄞州·精英引领计划”分创业团队、创新团队、创业人才、创新人才4类，其中创业人才（团队）是指带项目、技术、资金来鄞州创办企业的人才（团队），创新人才（团队）是指受聘为鄞州企事业单位或有法人资格的社会组织工作（服务）的人才（团队）。</w:t>
      </w:r>
    </w:p>
    <w:p>
      <w:pPr>
        <w:numPr>
          <w:ilvl w:val="0"/>
          <w:numId w:val="1"/>
        </w:numPr>
        <w:spacing w:line="579" w:lineRule="exact"/>
        <w:ind w:left="0" w:firstLineChars="200" w:firstLine="640"/>
        <w:rPr>
          <w:rFonts w:ascii="黑体" w:eastAsia="黑体"/>
          <w:sz w:val="32"/>
          <w:szCs w:val="32"/>
        </w:rPr>
      </w:pPr>
      <w:r>
        <w:rPr>
          <w:rFonts w:ascii="黑体" w:eastAsia="黑体" w:hint="eastAsia"/>
          <w:sz w:val="32"/>
          <w:szCs w:val="32"/>
        </w:rPr>
        <w:t>申报条件</w:t>
      </w:r>
    </w:p>
    <w:p>
      <w:pPr>
        <w:pStyle w:val="26"/>
        <w:widowControl/>
        <w:numPr>
          <w:ilvl w:val="0"/>
          <w:numId w:val="2"/>
        </w:numPr>
        <w:shd w:val="clear" w:color="auto" w:fill="FFFFFF"/>
        <w:spacing w:line="579" w:lineRule="exact"/>
        <w:ind w:firstLineChars="0"/>
        <w:jc w:val="left"/>
        <w:textAlignment w:val="baseline"/>
        <w:rPr>
          <w:rFonts w:ascii="楷体_GB2312" w:eastAsia="楷体_GB2312" w:cs="楷体_GB2312"/>
          <w:spacing w:val="15"/>
          <w:kern w:val="0"/>
          <w:sz w:val="32"/>
          <w:szCs w:val="32"/>
        </w:rPr>
      </w:pPr>
      <w:r>
        <w:rPr>
          <w:rFonts w:ascii="楷体_GB2312" w:eastAsia="楷体_GB2312" w:cs="楷体_GB2312" w:hint="eastAsia"/>
          <w:spacing w:val="15"/>
          <w:kern w:val="0"/>
          <w:sz w:val="32"/>
          <w:szCs w:val="32"/>
        </w:rPr>
        <w:t>创业团队</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spacing w:val="15"/>
          <w:kern w:val="0"/>
          <w:sz w:val="32"/>
          <w:szCs w:val="32"/>
        </w:rPr>
        <w:t>创业团队是指自带技术、项目、资金来</w:t>
      </w:r>
      <w:r>
        <w:rPr>
          <w:rFonts w:ascii="仿宋_GB2312" w:eastAsia="仿宋_GB2312" w:cs="仿宋_GB2312" w:hint="eastAsia"/>
          <w:spacing w:val="15"/>
          <w:kern w:val="0"/>
          <w:sz w:val="32"/>
          <w:szCs w:val="32"/>
        </w:rPr>
        <w:t>鄞州</w:t>
      </w:r>
      <w:r>
        <w:rPr>
          <w:rFonts w:ascii="仿宋_GB2312" w:eastAsia="仿宋_GB2312" w:cs="仿宋_GB2312"/>
          <w:spacing w:val="15"/>
          <w:kern w:val="0"/>
          <w:sz w:val="32"/>
          <w:szCs w:val="32"/>
        </w:rPr>
        <w:t>创业，创业项目符合</w:t>
      </w:r>
      <w:r>
        <w:rPr>
          <w:rFonts w:ascii="仿宋_GB2312" w:eastAsia="仿宋_GB2312" w:cs="仿宋_GB2312" w:hint="eastAsia"/>
          <w:spacing w:val="15"/>
          <w:kern w:val="0"/>
          <w:sz w:val="32"/>
          <w:szCs w:val="32"/>
        </w:rPr>
        <w:t>鄞州</w:t>
      </w:r>
      <w:r>
        <w:rPr>
          <w:rFonts w:ascii="仿宋_GB2312" w:eastAsia="仿宋_GB2312" w:cs="仿宋_GB2312"/>
          <w:spacing w:val="15"/>
          <w:kern w:val="0"/>
          <w:sz w:val="32"/>
          <w:szCs w:val="32"/>
        </w:rPr>
        <w:t>科技服务产业发展战略布局，具有较好市场前景、能引领和带动相关产业发展的高端团队，具体条件如下：</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1.创业团队应包括1名带头人和至少2名核心成员（不包括顾问），近3年内来鄞创业或有意向来鄞创业。</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2.团队带头人一般应取得硕士及以上学历学位，或具有较高业内影响力，年龄一般不超过55周岁</w:t>
      </w:r>
      <w:r>
        <w:rPr>
          <w:rFonts w:ascii="仿宋_GB2312" w:eastAsia="仿宋_GB2312" w:cs="仿宋_GB2312"/>
          <w:spacing w:val="15"/>
          <w:kern w:val="0"/>
          <w:sz w:val="32"/>
          <w:szCs w:val="32"/>
        </w:rPr>
        <w:t>(截至2020年1月1日，年龄界定下同）</w:t>
      </w:r>
      <w:r>
        <w:rPr>
          <w:rFonts w:ascii="仿宋_GB2312" w:eastAsia="仿宋_GB2312" w:cs="仿宋_GB2312" w:hint="eastAsia"/>
          <w:spacing w:val="15"/>
          <w:kern w:val="0"/>
          <w:sz w:val="32"/>
          <w:szCs w:val="32"/>
        </w:rPr>
        <w:t>，</w:t>
      </w:r>
      <w:r>
        <w:rPr>
          <w:rFonts w:ascii="仿宋_GB2312" w:eastAsia="仿宋_GB2312" w:cs="仿宋_GB2312"/>
          <w:spacing w:val="15"/>
          <w:kern w:val="0"/>
          <w:sz w:val="32"/>
          <w:szCs w:val="32"/>
        </w:rPr>
        <w:t>具有科技服务相关创业经历或曾在国内外知名科技服务企业（机构）担任过中、高级技术（管理）职务3年以上，具有较强的经营管理能力，突出的科技服务业绩。</w:t>
      </w:r>
    </w:p>
    <w:p>
      <w:pPr>
        <w:widowControl/>
        <w:shd w:val="clear" w:color="auto" w:fill="FFFFFF"/>
        <w:spacing w:line="579" w:lineRule="exact"/>
        <w:jc w:val="left"/>
        <w:textAlignment w:val="baseline"/>
        <w:rPr>
          <w:rFonts w:ascii="仿宋_GB2312" w:eastAsia="仿宋_GB2312" w:cs="仿宋_GB2312"/>
          <w:spacing w:val="15"/>
          <w:kern w:val="0"/>
          <w:sz w:val="32"/>
          <w:szCs w:val="32"/>
        </w:rPr>
      </w:pPr>
      <w:r>
        <w:rPr>
          <w:rFonts w:ascii="仿宋_GB2312" w:eastAsia="仿宋_GB2312" w:cs="仿宋_GB2312"/>
          <w:spacing w:val="15"/>
          <w:kern w:val="0"/>
          <w:sz w:val="32"/>
          <w:szCs w:val="32"/>
        </w:rPr>
        <w:t>　　其中，研发设计服务领域的团队带头人须取得博士学位或具有较高业内影响力；检验检测认证服务领域的团队带头人年龄可放宽至60岁，获得“检验检测认证行业年度人物”荣誉称号的优先支持；知识产权服务领域的团队带头人须具有专利代理人资格证或律师资格证；科技金融服务和创业孵化服务领域的团队带头人近3年须至少具有10个本领域内成功服务案例。</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3.团队成员一般应取得本科及以上学历学位或具有3年以上相关从业经历，年龄一般不超过50周岁，</w:t>
      </w:r>
      <w:r>
        <w:rPr>
          <w:rFonts w:ascii="仿宋_GB2312" w:eastAsia="仿宋_GB2312" w:cs="仿宋_GB2312"/>
          <w:spacing w:val="15"/>
          <w:kern w:val="0"/>
          <w:sz w:val="32"/>
          <w:szCs w:val="32"/>
        </w:rPr>
        <w:t>具有3年以上科技服务领域从业经历，成员间知识技能结构合理，与创业项目关联度大。其中，知识产权服务领域的团队成员学历可放宽至本科及以上学历学位且具有3年以上知识产权服务领域从业经历。团队带头人或成员获得国家级、省部级科技服务相关奖项，牵头起草行业标准、国家标准的优先支持。</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4.</w:t>
      </w:r>
      <w:r>
        <w:rPr>
          <w:rFonts w:ascii="仿宋_GB2312" w:eastAsia="仿宋_GB2312" w:cs="仿宋_GB2312"/>
          <w:spacing w:val="15"/>
          <w:kern w:val="0"/>
          <w:sz w:val="32"/>
          <w:szCs w:val="32"/>
        </w:rPr>
        <w:t xml:space="preserve"> 拥有自主实施的科技服务创业项目，创业项目商业理念先进、模式可行，具备市场化条件，未来市场预期较好；无严重影响项目开展的知识产权、经济等纠纷。</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5.创办公司实际到位注册资金中货币出资不少于100万元人民币；</w:t>
      </w:r>
      <w:r>
        <w:rPr>
          <w:rFonts w:ascii="仿宋_GB2312" w:eastAsia="仿宋_GB2312" w:cs="仿宋_GB2312"/>
          <w:spacing w:val="15"/>
          <w:kern w:val="0"/>
          <w:sz w:val="32"/>
          <w:szCs w:val="32"/>
        </w:rPr>
        <w:t>团队带头人（自然人）须为企业法定代表人</w:t>
      </w:r>
      <w:r>
        <w:rPr>
          <w:rFonts w:ascii="仿宋_GB2312" w:eastAsia="仿宋_GB2312" w:cs="仿宋_GB2312" w:hint="eastAsia"/>
          <w:spacing w:val="15"/>
          <w:kern w:val="0"/>
          <w:sz w:val="32"/>
          <w:szCs w:val="32"/>
        </w:rPr>
        <w:t>，</w:t>
      </w:r>
      <w:r>
        <w:rPr>
          <w:rFonts w:ascii="仿宋_GB2312" w:eastAsia="仿宋_GB2312" w:cs="仿宋_GB2312"/>
          <w:spacing w:val="15"/>
          <w:kern w:val="0"/>
          <w:sz w:val="32"/>
          <w:szCs w:val="32"/>
        </w:rPr>
        <w:t>其持股比例超过20%且为第一大股东，实际到位的货币出资不少于50万元人民币</w:t>
      </w:r>
      <w:r>
        <w:rPr>
          <w:rFonts w:ascii="仿宋_GB2312" w:eastAsia="仿宋_GB2312" w:cs="仿宋_GB2312" w:hint="eastAsia"/>
          <w:spacing w:val="15"/>
          <w:kern w:val="0"/>
          <w:sz w:val="32"/>
          <w:szCs w:val="32"/>
        </w:rPr>
        <w:t>；团队带头人及成员合计持股比例超过50%；创业团队须承诺创办的企业在获得资助后10年内不搬离鄞州。</w:t>
      </w:r>
    </w:p>
    <w:p>
      <w:pPr>
        <w:widowControl/>
        <w:shd w:val="clear" w:color="auto" w:fill="FFFFFF"/>
        <w:spacing w:line="579" w:lineRule="exact"/>
        <w:ind w:firstLineChars="200" w:firstLine="700"/>
        <w:jc w:val="left"/>
        <w:textAlignment w:val="baseline"/>
        <w:rPr>
          <w:rFonts w:ascii="楷体_GB2312" w:eastAsia="楷体_GB2312" w:cs="楷体_GB2312"/>
          <w:spacing w:val="15"/>
          <w:kern w:val="0"/>
          <w:sz w:val="32"/>
          <w:szCs w:val="32"/>
        </w:rPr>
      </w:pPr>
      <w:r>
        <w:rPr>
          <w:rFonts w:ascii="楷体_GB2312" w:eastAsia="楷体_GB2312" w:cs="楷体_GB2312" w:hint="eastAsia"/>
          <w:spacing w:val="15"/>
          <w:kern w:val="0"/>
          <w:sz w:val="32"/>
          <w:szCs w:val="32"/>
        </w:rPr>
        <w:t>（二）创新团队</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spacing w:val="15"/>
          <w:kern w:val="0"/>
          <w:sz w:val="32"/>
          <w:szCs w:val="32"/>
        </w:rPr>
        <w:t>创新团队是指以科技服务高端领军人才为核心，具有显著创新业绩或较强创新潜能，依托</w:t>
      </w:r>
      <w:r>
        <w:rPr>
          <w:rFonts w:ascii="仿宋_GB2312" w:eastAsia="仿宋_GB2312" w:cs="仿宋_GB2312" w:hint="eastAsia"/>
          <w:spacing w:val="15"/>
          <w:kern w:val="0"/>
          <w:sz w:val="32"/>
          <w:szCs w:val="32"/>
        </w:rPr>
        <w:t>鄞州</w:t>
      </w:r>
      <w:r>
        <w:rPr>
          <w:rFonts w:ascii="仿宋_GB2312" w:eastAsia="仿宋_GB2312" w:cs="仿宋_GB2312"/>
          <w:spacing w:val="15"/>
          <w:kern w:val="0"/>
          <w:sz w:val="32"/>
          <w:szCs w:val="32"/>
        </w:rPr>
        <w:t>企事业单位或有法人资格的社会组织，有明确创新路线图，致力于科技创新和成果转化，具有引领带动作用的高端团队，具体条件如下：</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1.创新团队包括1名带头人和至少2名核心成员，近1年内</w:t>
      </w:r>
      <w:r>
        <w:rPr>
          <w:rFonts w:ascii="仿宋_GB2312" w:eastAsia="仿宋_GB2312" w:cs="仿宋_GB2312"/>
          <w:spacing w:val="15"/>
          <w:kern w:val="0"/>
          <w:sz w:val="32"/>
          <w:szCs w:val="32"/>
        </w:rPr>
        <w:t>（2019年1月1日以后）</w:t>
      </w:r>
      <w:r>
        <w:rPr>
          <w:rFonts w:ascii="仿宋_GB2312" w:eastAsia="仿宋_GB2312" w:cs="仿宋_GB2312" w:hint="eastAsia"/>
          <w:spacing w:val="15"/>
          <w:kern w:val="0"/>
          <w:sz w:val="32"/>
          <w:szCs w:val="32"/>
        </w:rPr>
        <w:t>来鄞州工作或尚未在鄞州工作，入选后均须全职在鄞州连续工作不少于5年，</w:t>
      </w:r>
      <w:r>
        <w:rPr>
          <w:rFonts w:ascii="仿宋_GB2312" w:eastAsia="仿宋_GB2312" w:cs="仿宋_GB2312"/>
          <w:spacing w:val="15"/>
          <w:kern w:val="0"/>
          <w:sz w:val="32"/>
          <w:szCs w:val="32"/>
        </w:rPr>
        <w:t>每年在</w:t>
      </w:r>
      <w:r>
        <w:rPr>
          <w:rFonts w:ascii="仿宋_GB2312" w:eastAsia="仿宋_GB2312" w:cs="仿宋_GB2312" w:hint="eastAsia"/>
          <w:spacing w:val="15"/>
          <w:kern w:val="0"/>
          <w:sz w:val="32"/>
          <w:szCs w:val="32"/>
        </w:rPr>
        <w:t>鄞州</w:t>
      </w:r>
      <w:r>
        <w:rPr>
          <w:rFonts w:ascii="仿宋_GB2312" w:eastAsia="仿宋_GB2312" w:cs="仿宋_GB2312"/>
          <w:spacing w:val="15"/>
          <w:kern w:val="0"/>
          <w:sz w:val="32"/>
          <w:szCs w:val="32"/>
        </w:rPr>
        <w:t>工作时间不少于9个月。</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2.团队带头人应取得硕士及以上学历学位, 或具有较高业内影响力，年龄一般不超过55周岁。</w:t>
      </w:r>
      <w:r>
        <w:rPr>
          <w:rFonts w:ascii="仿宋_GB2312" w:eastAsia="仿宋_GB2312" w:cs="仿宋_GB2312"/>
          <w:spacing w:val="15"/>
          <w:kern w:val="0"/>
          <w:sz w:val="32"/>
          <w:szCs w:val="32"/>
        </w:rPr>
        <w:t>在国内外知名高校、科研院所担任过相当于教授的职务，或在国内外知名的科技服务企业（机构）担任过中、高级职务3年以上，具有突出的科技服务业绩。</w:t>
      </w:r>
    </w:p>
    <w:p>
      <w:pPr>
        <w:widowControl/>
        <w:shd w:val="clear" w:color="auto" w:fill="FFFFFF"/>
        <w:spacing w:line="579" w:lineRule="exact"/>
        <w:jc w:val="left"/>
        <w:textAlignment w:val="baseline"/>
        <w:rPr>
          <w:rFonts w:ascii="仿宋_GB2312" w:eastAsia="仿宋_GB2312" w:cs="仿宋_GB2312"/>
          <w:spacing w:val="15"/>
          <w:kern w:val="0"/>
          <w:sz w:val="32"/>
          <w:szCs w:val="32"/>
        </w:rPr>
      </w:pPr>
      <w:r>
        <w:rPr>
          <w:rFonts w:ascii="仿宋_GB2312" w:eastAsia="仿宋_GB2312" w:cs="仿宋_GB2312"/>
          <w:spacing w:val="15"/>
          <w:kern w:val="0"/>
          <w:sz w:val="32"/>
          <w:szCs w:val="32"/>
        </w:rPr>
        <w:t>　　其中，研发设计服务领域的团队带头人应取得博士学位或具有较高业内影响力；检验检测认证服务领域的团队带头人年龄可放宽至60</w:t>
      </w:r>
      <w:r>
        <w:rPr>
          <w:rFonts w:ascii="仿宋_GB2312" w:eastAsia="仿宋_GB2312" w:cs="仿宋_GB2312" w:hint="eastAsia"/>
          <w:spacing w:val="15"/>
          <w:kern w:val="0"/>
          <w:sz w:val="32"/>
          <w:szCs w:val="32"/>
        </w:rPr>
        <w:t>周</w:t>
      </w:r>
      <w:r>
        <w:rPr>
          <w:rFonts w:ascii="仿宋_GB2312" w:eastAsia="仿宋_GB2312" w:cs="仿宋_GB2312"/>
          <w:spacing w:val="15"/>
          <w:kern w:val="0"/>
          <w:sz w:val="32"/>
          <w:szCs w:val="32"/>
        </w:rPr>
        <w:t>岁，获得“检验检测认证行业年度人物”荣誉称号的优先支持；知识产权服务领域的团队带头人应具有专利代理人资格证或律师资格证。</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3.团队成员一般应取得本科以上学历学位或具有3年以上相关行业从业经历，年龄一般不超过50周岁。团队组成结构合理，拥有项目合作经历或关联、互补性强，可稳定合作5年以上。</w:t>
      </w:r>
      <w:r>
        <w:rPr>
          <w:rFonts w:ascii="仿宋_GB2312" w:eastAsia="仿宋_GB2312" w:cs="仿宋_GB2312"/>
          <w:spacing w:val="15"/>
          <w:kern w:val="0"/>
          <w:sz w:val="32"/>
          <w:szCs w:val="32"/>
        </w:rPr>
        <w:t>其中，研发设计服务领域的团队中至少应有1名成员取得博士学位或具有较高业内影响力；知识产权服务领域的团队成员学历可放宽至本科及以上学历学位且具有3年以上知识产权服务领域从业经历。团队带头人或成员获得国家级、省部级科技服务相关奖项的，牵头起草行业标准、国家标准的优先支持。</w:t>
      </w:r>
    </w:p>
    <w:p>
      <w:pPr>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4.拥有科技</w:t>
      </w:r>
      <w:r>
        <w:rPr>
          <w:rFonts w:ascii="仿宋_GB2312" w:eastAsia="仿宋_GB2312" w:cs="仿宋_GB2312"/>
          <w:spacing w:val="15"/>
          <w:kern w:val="0"/>
          <w:sz w:val="32"/>
          <w:szCs w:val="32"/>
        </w:rPr>
        <w:t>服务</w:t>
      </w:r>
      <w:r>
        <w:rPr>
          <w:rFonts w:ascii="仿宋_GB2312" w:eastAsia="仿宋_GB2312" w:cs="仿宋_GB2312" w:hint="eastAsia"/>
          <w:spacing w:val="15"/>
          <w:kern w:val="0"/>
          <w:sz w:val="32"/>
          <w:szCs w:val="32"/>
        </w:rPr>
        <w:t>相关的创新成果且达到国内一流水平，研究成果较为成熟或具有较强的前瞻性、方向性，能填补我区空白，具有市场潜力或能推动相关学科发展，能较好提升依托单位的经营业绩或创新水平。</w:t>
      </w:r>
    </w:p>
    <w:p>
      <w:pPr>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5.依托的单位应具备较好的经营业绩或社会声誉，创新体系健全，配套支持措施完善，能为团队创新提供必要的资金、设备、场所等保障。</w:t>
      </w:r>
    </w:p>
    <w:p>
      <w:pPr>
        <w:widowControl/>
        <w:shd w:val="clear" w:color="auto" w:fill="FFFFFF"/>
        <w:spacing w:line="579" w:lineRule="exact"/>
        <w:ind w:firstLineChars="200" w:firstLine="700"/>
        <w:jc w:val="left"/>
        <w:textAlignment w:val="baseline"/>
        <w:rPr>
          <w:rFonts w:ascii="楷体_GB2312" w:eastAsia="楷体_GB2312" w:cs="仿宋_GB2312"/>
          <w:spacing w:val="15"/>
          <w:kern w:val="0"/>
          <w:sz w:val="32"/>
          <w:szCs w:val="32"/>
        </w:rPr>
      </w:pPr>
      <w:r>
        <w:rPr>
          <w:rFonts w:ascii="楷体_GB2312" w:eastAsia="楷体_GB2312" w:cs="仿宋_GB2312" w:hint="eastAsia"/>
          <w:spacing w:val="15"/>
          <w:kern w:val="0"/>
          <w:sz w:val="32"/>
          <w:szCs w:val="32"/>
        </w:rPr>
        <w:t>（三）创业人才</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spacing w:val="15"/>
          <w:kern w:val="0"/>
          <w:sz w:val="32"/>
          <w:szCs w:val="32"/>
        </w:rPr>
        <w:t>创业人才是指自带技术、项目、资金来</w:t>
      </w:r>
      <w:r>
        <w:rPr>
          <w:rFonts w:ascii="仿宋_GB2312" w:eastAsia="仿宋_GB2312" w:cs="仿宋_GB2312" w:hint="eastAsia"/>
          <w:spacing w:val="15"/>
          <w:kern w:val="0"/>
          <w:sz w:val="32"/>
          <w:szCs w:val="32"/>
        </w:rPr>
        <w:t>鄞州</w:t>
      </w:r>
      <w:r>
        <w:rPr>
          <w:rFonts w:ascii="仿宋_GB2312" w:eastAsia="仿宋_GB2312" w:cs="仿宋_GB2312"/>
          <w:spacing w:val="15"/>
          <w:kern w:val="0"/>
          <w:sz w:val="32"/>
          <w:szCs w:val="32"/>
        </w:rPr>
        <w:t>创业，创业项目符合</w:t>
      </w:r>
      <w:r>
        <w:rPr>
          <w:rFonts w:ascii="仿宋_GB2312" w:eastAsia="仿宋_GB2312" w:cs="仿宋_GB2312" w:hint="eastAsia"/>
          <w:spacing w:val="15"/>
          <w:kern w:val="0"/>
          <w:sz w:val="32"/>
          <w:szCs w:val="32"/>
        </w:rPr>
        <w:t>鄞州</w:t>
      </w:r>
      <w:r>
        <w:rPr>
          <w:rFonts w:ascii="仿宋_GB2312" w:eastAsia="仿宋_GB2312" w:cs="仿宋_GB2312"/>
          <w:spacing w:val="15"/>
          <w:kern w:val="0"/>
          <w:sz w:val="32"/>
          <w:szCs w:val="32"/>
        </w:rPr>
        <w:t>科技服务产业发展战略布局，具有较好市场前景、能引领和带动相关产业发展的高端人才，具体条件如下：</w:t>
      </w:r>
    </w:p>
    <w:p>
      <w:pPr>
        <w:widowControl/>
        <w:shd w:val="clear" w:color="auto" w:fill="FFFFFF"/>
        <w:spacing w:line="579" w:lineRule="exact"/>
        <w:ind w:firstLineChars="200" w:firstLine="700"/>
        <w:jc w:val="left"/>
        <w:textAlignment w:val="baseline"/>
        <w:rPr>
          <w:rFonts w:ascii="楷体_GB2312" w:eastAsia="楷体_GB2312" w:cs="仿宋_GB2312"/>
          <w:spacing w:val="15"/>
          <w:kern w:val="0"/>
          <w:sz w:val="32"/>
          <w:szCs w:val="32"/>
        </w:rPr>
      </w:pPr>
      <w:r>
        <w:rPr>
          <w:rFonts w:ascii="仿宋_GB2312" w:eastAsia="仿宋_GB2312" w:cs="仿宋_GB2312" w:hint="eastAsia"/>
          <w:spacing w:val="15"/>
          <w:kern w:val="0"/>
          <w:sz w:val="32"/>
          <w:szCs w:val="32"/>
        </w:rPr>
        <w:t>1. 近3年内</w:t>
      </w:r>
      <w:r>
        <w:rPr>
          <w:rFonts w:ascii="仿宋_GB2312" w:eastAsia="仿宋_GB2312" w:cs="仿宋_GB2312"/>
          <w:spacing w:val="15"/>
          <w:kern w:val="0"/>
          <w:sz w:val="32"/>
          <w:szCs w:val="32"/>
        </w:rPr>
        <w:t>（2017年1月1日以后）</w:t>
      </w:r>
      <w:r>
        <w:rPr>
          <w:rFonts w:ascii="仿宋_GB2312" w:eastAsia="仿宋_GB2312" w:cs="仿宋_GB2312" w:hint="eastAsia"/>
          <w:spacing w:val="15"/>
          <w:kern w:val="0"/>
          <w:sz w:val="32"/>
          <w:szCs w:val="32"/>
        </w:rPr>
        <w:t>来鄞州创业，并在申报截止前完成工商注册登记等相关手续。</w:t>
      </w:r>
    </w:p>
    <w:p>
      <w:pPr>
        <w:widowControl/>
        <w:shd w:val="clear" w:color="auto" w:fill="FFFFFF"/>
        <w:spacing w:line="579" w:lineRule="exact"/>
        <w:ind w:firstLineChars="200" w:firstLine="700"/>
        <w:jc w:val="left"/>
        <w:textAlignment w:val="baseline"/>
        <w:rPr>
          <w:rFonts w:ascii="inherit" w:eastAsia="微软雅黑" w:cs="宋体" w:hAnsi="inherit" w:hint="eastAsia"/>
          <w:kern w:val="0"/>
          <w:sz w:val="23"/>
          <w:szCs w:val="23"/>
        </w:rPr>
      </w:pPr>
      <w:r>
        <w:rPr>
          <w:rFonts w:ascii="仿宋_GB2312" w:eastAsia="仿宋_GB2312" w:cs="仿宋_GB2312"/>
          <w:spacing w:val="15"/>
          <w:kern w:val="0"/>
          <w:sz w:val="32"/>
          <w:szCs w:val="32"/>
        </w:rPr>
        <w:t>2</w:t>
      </w:r>
      <w:r>
        <w:rPr>
          <w:rFonts w:ascii="仿宋_GB2312" w:eastAsia="仿宋_GB2312" w:cs="仿宋_GB2312" w:hint="eastAsia"/>
          <w:spacing w:val="15"/>
          <w:kern w:val="0"/>
          <w:sz w:val="32"/>
          <w:szCs w:val="32"/>
        </w:rPr>
        <w:t>.一般应取得硕士及以上学历学位或具有较高业内影响力，年龄一般不超过55周岁，</w:t>
      </w:r>
      <w:r>
        <w:rPr>
          <w:rFonts w:ascii="仿宋_GB2312" w:eastAsia="仿宋_GB2312" w:cs="仿宋_GB2312"/>
          <w:spacing w:val="15"/>
          <w:kern w:val="0"/>
          <w:sz w:val="32"/>
          <w:szCs w:val="32"/>
        </w:rPr>
        <w:t>其中，研发设计服务领域的创业人才须取得博士学位或具有较高业内影响力；检验检测认证服务领域的创业人才年龄可放宽至60</w:t>
      </w:r>
      <w:r>
        <w:rPr>
          <w:rFonts w:ascii="仿宋_GB2312" w:eastAsia="仿宋_GB2312" w:cs="仿宋_GB2312" w:hint="eastAsia"/>
          <w:spacing w:val="15"/>
          <w:kern w:val="0"/>
          <w:sz w:val="32"/>
          <w:szCs w:val="32"/>
        </w:rPr>
        <w:t>周</w:t>
      </w:r>
      <w:r>
        <w:rPr>
          <w:rFonts w:ascii="仿宋_GB2312" w:eastAsia="仿宋_GB2312" w:cs="仿宋_GB2312"/>
          <w:spacing w:val="15"/>
          <w:kern w:val="0"/>
          <w:sz w:val="32"/>
          <w:szCs w:val="32"/>
        </w:rPr>
        <w:t>岁，获得“检验检测认证行业年度人物”荣誉称号的优先支持；知识产权服务领域的创业人才须具有专利代理人资格证或律师资格证。</w:t>
      </w:r>
    </w:p>
    <w:p>
      <w:pPr>
        <w:widowControl/>
        <w:shd w:val="clear" w:color="auto" w:fill="FFFFFF"/>
        <w:spacing w:line="579" w:lineRule="exact"/>
        <w:jc w:val="left"/>
        <w:textAlignment w:val="baseline"/>
        <w:rPr>
          <w:rFonts w:ascii="inherit" w:eastAsia="微软雅黑" w:cs="宋体" w:hAnsi="inherit" w:hint="eastAsia"/>
          <w:kern w:val="0"/>
          <w:sz w:val="23"/>
          <w:szCs w:val="23"/>
        </w:rPr>
      </w:pPr>
      <w:r>
        <w:rPr>
          <w:rFonts w:ascii="inherit" w:eastAsia="微软雅黑" w:cs="宋体" w:hAnsi="inherit"/>
          <w:kern w:val="0"/>
          <w:sz w:val="23"/>
          <w:szCs w:val="23"/>
        </w:rPr>
        <w:t>　　</w:t>
      </w:r>
      <w:r>
        <w:rPr>
          <w:rFonts w:ascii="仿宋_GB2312" w:eastAsia="仿宋_GB2312" w:cs="仿宋_GB2312"/>
          <w:spacing w:val="15"/>
          <w:kern w:val="0"/>
          <w:sz w:val="32"/>
          <w:szCs w:val="32"/>
        </w:rPr>
        <w:t>3．具有科技服务相关的创业经历或曾在国内外知名科技服务企业（机构）担任过中、高级技术（管理）职务3年以上，有突出的科技服务业绩。其中，科技金融服务和创业孵化服务领域的创业人才近3年须至少具有10个本领域内成功服务案例。获得国家级、省部级科技服务相关奖项，牵头起草行业标准、国家标准的优先支持。</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spacing w:val="15"/>
          <w:kern w:val="0"/>
          <w:sz w:val="32"/>
          <w:szCs w:val="32"/>
        </w:rPr>
        <w:t>4</w:t>
      </w:r>
      <w:r>
        <w:rPr>
          <w:rFonts w:ascii="仿宋_GB2312" w:eastAsia="仿宋_GB2312" w:cs="仿宋_GB2312" w:hint="eastAsia"/>
          <w:spacing w:val="15"/>
          <w:kern w:val="0"/>
          <w:sz w:val="32"/>
          <w:szCs w:val="32"/>
        </w:rPr>
        <w:t>.项目技术较为领先，商业理念先进、模式可行，具备市场化条件；无严重影响项目开展的知识产权、经济等纠纷。</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spacing w:val="15"/>
          <w:kern w:val="0"/>
          <w:sz w:val="32"/>
          <w:szCs w:val="32"/>
        </w:rPr>
        <w:t>5</w:t>
      </w:r>
      <w:r>
        <w:rPr>
          <w:rFonts w:ascii="仿宋_GB2312" w:eastAsia="仿宋_GB2312" w:cs="仿宋_GB2312" w:hint="eastAsia"/>
          <w:spacing w:val="15"/>
          <w:kern w:val="0"/>
          <w:sz w:val="32"/>
          <w:szCs w:val="32"/>
        </w:rPr>
        <w:t>.创业人才应为公司主要创办人、法定代表人、第一大股东，在公司实际到位的注册资金中货币出资不少于50万元。承诺创办的企业在获得资助后10年内不搬离鄞州。</w:t>
      </w:r>
    </w:p>
    <w:p>
      <w:pPr>
        <w:widowControl/>
        <w:shd w:val="clear" w:color="auto" w:fill="FFFFFF"/>
        <w:spacing w:line="579" w:lineRule="exact"/>
        <w:ind w:firstLineChars="200" w:firstLine="700"/>
        <w:jc w:val="left"/>
        <w:textAlignment w:val="baseline"/>
        <w:rPr>
          <w:rFonts w:ascii="楷体_GB2312" w:eastAsia="楷体_GB2312" w:cs="仿宋_GB2312"/>
          <w:spacing w:val="15"/>
          <w:kern w:val="0"/>
          <w:sz w:val="32"/>
          <w:szCs w:val="32"/>
        </w:rPr>
      </w:pPr>
      <w:r>
        <w:rPr>
          <w:rFonts w:ascii="楷体_GB2312" w:eastAsia="楷体_GB2312" w:cs="仿宋_GB2312" w:hint="eastAsia"/>
          <w:spacing w:val="15"/>
          <w:kern w:val="0"/>
          <w:sz w:val="32"/>
          <w:szCs w:val="32"/>
        </w:rPr>
        <w:t>（四）创新人才</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spacing w:val="15"/>
          <w:kern w:val="0"/>
          <w:sz w:val="32"/>
          <w:szCs w:val="32"/>
        </w:rPr>
        <w:t>创新人才是指具有显著创新业绩或较强创新潜能，依托</w:t>
      </w:r>
      <w:r>
        <w:rPr>
          <w:rFonts w:ascii="仿宋_GB2312" w:eastAsia="仿宋_GB2312" w:cs="仿宋_GB2312" w:hint="eastAsia"/>
          <w:spacing w:val="15"/>
          <w:kern w:val="0"/>
          <w:sz w:val="32"/>
          <w:szCs w:val="32"/>
        </w:rPr>
        <w:t>鄞州</w:t>
      </w:r>
      <w:r>
        <w:rPr>
          <w:rFonts w:ascii="仿宋_GB2312" w:eastAsia="仿宋_GB2312" w:cs="仿宋_GB2312"/>
          <w:spacing w:val="15"/>
          <w:kern w:val="0"/>
          <w:sz w:val="32"/>
          <w:szCs w:val="32"/>
        </w:rPr>
        <w:t>企事业单位或有法人资格的社会组织，有明确创新路线图，致力于科技创新和成果转化，具有引领带动作用的高层次人才，具体条件如下：</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1.创新人才来鄞州工作不超过1年</w:t>
      </w:r>
      <w:r>
        <w:rPr>
          <w:rFonts w:ascii="仿宋_GB2312" w:eastAsia="仿宋_GB2312" w:cs="仿宋_GB2312"/>
          <w:spacing w:val="15"/>
          <w:kern w:val="0"/>
          <w:sz w:val="32"/>
          <w:szCs w:val="32"/>
        </w:rPr>
        <w:t>（2019年1月1日以后）</w:t>
      </w:r>
      <w:r>
        <w:rPr>
          <w:rFonts w:ascii="仿宋_GB2312" w:eastAsia="仿宋_GB2312" w:cs="仿宋_GB2312" w:hint="eastAsia"/>
          <w:spacing w:val="15"/>
          <w:kern w:val="0"/>
          <w:sz w:val="32"/>
          <w:szCs w:val="32"/>
        </w:rPr>
        <w:t>或与依托单位签订意向合同且承诺在半年内到岗，入选后均须全职在鄞州工作，连续工作不少于5年，</w:t>
      </w:r>
      <w:r>
        <w:rPr>
          <w:rFonts w:ascii="仿宋_GB2312" w:eastAsia="仿宋_GB2312" w:cs="仿宋_GB2312"/>
          <w:spacing w:val="15"/>
          <w:kern w:val="0"/>
          <w:sz w:val="32"/>
          <w:szCs w:val="32"/>
        </w:rPr>
        <w:t>每年在</w:t>
      </w:r>
      <w:r>
        <w:rPr>
          <w:rFonts w:ascii="仿宋_GB2312" w:eastAsia="仿宋_GB2312" w:cs="仿宋_GB2312" w:hint="eastAsia"/>
          <w:spacing w:val="15"/>
          <w:kern w:val="0"/>
          <w:sz w:val="32"/>
          <w:szCs w:val="32"/>
        </w:rPr>
        <w:t>鄞州</w:t>
      </w:r>
      <w:r>
        <w:rPr>
          <w:rFonts w:ascii="仿宋_GB2312" w:eastAsia="仿宋_GB2312" w:cs="仿宋_GB2312"/>
          <w:spacing w:val="15"/>
          <w:kern w:val="0"/>
          <w:sz w:val="32"/>
          <w:szCs w:val="32"/>
        </w:rPr>
        <w:t>工作时间不少于9个月。</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2.一般应取得硕士及以上学历学位，或具有较高业内影响力，年龄一般不超过55周岁（其中外裔创新人才可放宽至65周岁），</w:t>
      </w:r>
      <w:r>
        <w:rPr>
          <w:rFonts w:ascii="仿宋_GB2312" w:eastAsia="仿宋_GB2312" w:cs="仿宋_GB2312"/>
          <w:spacing w:val="15"/>
          <w:kern w:val="0"/>
          <w:sz w:val="32"/>
          <w:szCs w:val="32"/>
        </w:rPr>
        <w:t>获得国家级、省部级科技服务相关奖项，牵头起草行业标准、国家标准的优先支持。</w:t>
      </w:r>
    </w:p>
    <w:p>
      <w:pPr>
        <w:widowControl/>
        <w:shd w:val="clear" w:color="auto" w:fill="FFFFFF"/>
        <w:spacing w:line="579" w:lineRule="exact"/>
        <w:ind w:firstLine="705"/>
        <w:jc w:val="left"/>
        <w:textAlignment w:val="baseline"/>
        <w:rPr>
          <w:rFonts w:ascii="仿宋_GB2312" w:eastAsia="仿宋_GB2312" w:cs="仿宋_GB2312"/>
          <w:spacing w:val="15"/>
          <w:kern w:val="0"/>
          <w:sz w:val="32"/>
          <w:szCs w:val="32"/>
        </w:rPr>
      </w:pPr>
      <w:r>
        <w:rPr>
          <w:rFonts w:ascii="仿宋_GB2312" w:eastAsia="仿宋_GB2312" w:cs="仿宋_GB2312"/>
          <w:spacing w:val="15"/>
          <w:kern w:val="0"/>
          <w:sz w:val="32"/>
          <w:szCs w:val="32"/>
        </w:rPr>
        <w:t>其中，研发设计服务领域的创新人才应取得博士学位或具有较高业内影响力；知识产权服务领域的创新人才应具有专利代理人资格证或律师资格证；检验检测认证服务领域的创新人才年龄可放宽至60岁，获得“检验检测认证行业年度人物”荣誉称号的优先支持。</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spacing w:val="15"/>
          <w:kern w:val="0"/>
          <w:sz w:val="32"/>
          <w:szCs w:val="32"/>
        </w:rPr>
        <w:t>3．在国内外知名高校、科研院所担任过相当于教授的职务，或在国内外知名的科技服务企业（机构）担任过中、高级职务3年以上，具有突出的科技服务业绩。</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spacing w:val="15"/>
          <w:kern w:val="0"/>
          <w:sz w:val="32"/>
          <w:szCs w:val="32"/>
        </w:rPr>
        <w:t>4</w:t>
      </w:r>
      <w:r>
        <w:rPr>
          <w:rFonts w:ascii="仿宋_GB2312" w:eastAsia="仿宋_GB2312" w:cs="仿宋_GB2312" w:hint="eastAsia"/>
          <w:spacing w:val="15"/>
          <w:kern w:val="0"/>
          <w:sz w:val="32"/>
          <w:szCs w:val="32"/>
        </w:rPr>
        <w:t>.拥有科技服务相关的创新成果且达到国内一流水平，研究成果较为成熟或具有较强的前瞻性、方向性，能填补我区空白，具有市场潜力或能推动相关学科发展，能较好提升依托单位的经营业绩或创新水平。</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spacing w:val="15"/>
          <w:kern w:val="0"/>
          <w:sz w:val="32"/>
          <w:szCs w:val="32"/>
        </w:rPr>
        <w:t>5</w:t>
      </w:r>
      <w:r>
        <w:rPr>
          <w:rFonts w:ascii="仿宋_GB2312" w:eastAsia="仿宋_GB2312" w:cs="仿宋_GB2312" w:hint="eastAsia"/>
          <w:spacing w:val="15"/>
          <w:kern w:val="0"/>
          <w:sz w:val="32"/>
          <w:szCs w:val="32"/>
        </w:rPr>
        <w:t>.创新人才依托的单位运营情况良好，创新体系健全，配套支持措施完善。以企业为依托的，所在企业应具备较好的经营业绩，能为创新人才提供必要的科研资金和研发设备。</w:t>
      </w:r>
      <w:bookmarkStart w:id="0" w:name="_GoBack"/>
      <w:bookmarkEnd w:id="0"/>
    </w:p>
    <w:p>
      <w:pPr>
        <w:spacing w:line="579" w:lineRule="exact"/>
        <w:ind w:firstLineChars="200" w:firstLine="640"/>
        <w:rPr>
          <w:rFonts w:ascii="黑体" w:eastAsia="黑体"/>
          <w:sz w:val="32"/>
          <w:szCs w:val="32"/>
        </w:rPr>
      </w:pPr>
      <w:r>
        <w:rPr>
          <w:rFonts w:ascii="黑体" w:eastAsia="黑体" w:hint="eastAsia"/>
          <w:sz w:val="32"/>
          <w:szCs w:val="32"/>
        </w:rPr>
        <w:t>四、支持政策和相关待遇</w:t>
      </w:r>
    </w:p>
    <w:p>
      <w:pPr>
        <w:snapToGrid w:val="0"/>
        <w:spacing w:line="579" w:lineRule="exact"/>
        <w:ind w:firstLineChars="200" w:firstLine="640"/>
        <w:rPr>
          <w:rFonts w:eastAsia="仿宋_GB2312"/>
          <w:sz w:val="32"/>
          <w:szCs w:val="32"/>
        </w:rPr>
      </w:pPr>
      <w:r>
        <w:rPr>
          <w:rFonts w:ascii="仿宋_GB2312" w:eastAsia="仿宋_GB2312" w:cs="仿宋_GB2312" w:hint="eastAsia"/>
          <w:sz w:val="32"/>
          <w:szCs w:val="32"/>
        </w:rPr>
        <w:t>经申报评审，入选“泛创业鄞州·精英引领计划”的人才和团队，落户并符合项目推进要求的，可享受以下相关政策：</w:t>
      </w:r>
    </w:p>
    <w:p>
      <w:pPr>
        <w:widowControl/>
        <w:shd w:val="clear" w:color="auto" w:fill="FFFFFF"/>
        <w:spacing w:line="579" w:lineRule="exact"/>
        <w:ind w:firstLineChars="200" w:firstLine="700"/>
        <w:jc w:val="left"/>
        <w:textAlignment w:val="baseline"/>
        <w:rPr>
          <w:rFonts w:ascii="楷体_GB2312" w:eastAsia="楷体_GB2312" w:cs="仿宋_GB2312" w:hint="eastAsia"/>
          <w:spacing w:val="15"/>
          <w:kern w:val="0"/>
          <w:sz w:val="32"/>
          <w:szCs w:val="32"/>
        </w:rPr>
      </w:pPr>
      <w:r>
        <w:rPr>
          <w:rFonts w:ascii="楷体_GB2312" w:eastAsia="楷体_GB2312" w:cs="仿宋_GB2312" w:hint="eastAsia"/>
          <w:spacing w:val="15"/>
          <w:kern w:val="0"/>
          <w:sz w:val="32"/>
          <w:szCs w:val="32"/>
        </w:rPr>
        <w:t>（一）创业团队政策</w:t>
      </w:r>
    </w:p>
    <w:p>
      <w:pPr>
        <w:widowControl/>
        <w:shd w:val="clear" w:color="auto" w:fill="FFFFFF"/>
        <w:spacing w:line="579" w:lineRule="exact"/>
        <w:ind w:firstLineChars="200" w:firstLine="700"/>
        <w:jc w:val="left"/>
        <w:textAlignment w:val="baseline"/>
        <w:rPr>
          <w:rFonts w:ascii="仿宋_GB2312" w:eastAsia="仿宋_GB2312" w:cs="仿宋_GB2312" w:hint="eastAsia"/>
          <w:spacing w:val="15"/>
          <w:kern w:val="0"/>
          <w:sz w:val="32"/>
          <w:szCs w:val="32"/>
        </w:rPr>
      </w:pPr>
      <w:r>
        <w:rPr>
          <w:rFonts w:ascii="仿宋_GB2312" w:eastAsia="仿宋_GB2312" w:cs="仿宋_GB2312" w:hint="eastAsia"/>
          <w:spacing w:val="15"/>
          <w:kern w:val="0"/>
          <w:sz w:val="32"/>
          <w:szCs w:val="32"/>
        </w:rPr>
        <w:t>对经评审入选且落户的创业团队，确定A类、B类、C类三个层次，享受以下政策：</w:t>
      </w:r>
    </w:p>
    <w:p>
      <w:pPr>
        <w:widowControl/>
        <w:shd w:val="clear" w:color="auto" w:fill="FFFFFF"/>
        <w:spacing w:line="579" w:lineRule="exact"/>
        <w:ind w:firstLineChars="200" w:firstLine="700"/>
        <w:jc w:val="left"/>
        <w:textAlignment w:val="baseline"/>
        <w:rPr>
          <w:rFonts w:ascii="仿宋_GB2312" w:eastAsia="仿宋_GB2312" w:cs="仿宋_GB2312" w:hint="eastAsia"/>
          <w:b/>
          <w:bCs/>
          <w:spacing w:val="15"/>
          <w:kern w:val="0"/>
          <w:sz w:val="32"/>
          <w:szCs w:val="32"/>
        </w:rPr>
      </w:pPr>
      <w:r>
        <w:rPr>
          <w:rFonts w:ascii="仿宋_GB2312" w:eastAsia="仿宋_GB2312" w:cs="仿宋_GB2312" w:hint="eastAsia"/>
          <w:b/>
          <w:bCs/>
          <w:spacing w:val="15"/>
          <w:kern w:val="0"/>
          <w:sz w:val="32"/>
          <w:szCs w:val="32"/>
        </w:rPr>
        <w:t>1．项目资助</w:t>
      </w:r>
    </w:p>
    <w:p>
      <w:pPr>
        <w:widowControl/>
        <w:shd w:val="clear" w:color="auto" w:fill="FFFFFF"/>
        <w:spacing w:line="579" w:lineRule="exact"/>
        <w:ind w:firstLineChars="200" w:firstLine="700"/>
        <w:jc w:val="left"/>
        <w:textAlignment w:val="baseline"/>
        <w:rPr>
          <w:rFonts w:ascii="仿宋_GB2312" w:eastAsia="仿宋_GB2312" w:cs="仿宋_GB2312" w:hint="eastAsia"/>
          <w:spacing w:val="15"/>
          <w:kern w:val="0"/>
          <w:sz w:val="32"/>
          <w:szCs w:val="32"/>
        </w:rPr>
      </w:pPr>
      <w:r>
        <w:rPr>
          <w:rFonts w:ascii="仿宋_GB2312" w:eastAsia="仿宋_GB2312" w:cs="仿宋_GB2312" w:hint="eastAsia"/>
          <w:spacing w:val="15"/>
          <w:kern w:val="0"/>
          <w:sz w:val="32"/>
          <w:szCs w:val="32"/>
        </w:rPr>
        <w:t>A类、B类、C类项目可分别给予200万元、100万元、50万元的创业项目资助。具有国际一流水平，能引领我区产业发展、产生重大效益的，可以实行“一事一议”。</w:t>
      </w:r>
    </w:p>
    <w:p>
      <w:pPr>
        <w:widowControl/>
        <w:shd w:val="clear" w:color="auto" w:fill="FFFFFF"/>
        <w:spacing w:line="579" w:lineRule="exact"/>
        <w:ind w:firstLineChars="200" w:firstLine="700"/>
        <w:jc w:val="left"/>
        <w:textAlignment w:val="baseline"/>
        <w:rPr>
          <w:rFonts w:ascii="仿宋_GB2312" w:eastAsia="仿宋_GB2312" w:cs="仿宋_GB2312" w:hint="eastAsia"/>
          <w:b/>
          <w:spacing w:val="15"/>
          <w:kern w:val="0"/>
          <w:sz w:val="32"/>
          <w:szCs w:val="32"/>
        </w:rPr>
      </w:pPr>
      <w:r>
        <w:rPr>
          <w:rFonts w:ascii="仿宋_GB2312" w:eastAsia="仿宋_GB2312" w:cs="仿宋_GB2312" w:hint="eastAsia"/>
          <w:b/>
          <w:spacing w:val="15"/>
          <w:kern w:val="0"/>
          <w:sz w:val="32"/>
          <w:szCs w:val="32"/>
        </w:rPr>
        <w:t>2.场地补贴</w:t>
      </w:r>
    </w:p>
    <w:p>
      <w:pPr>
        <w:widowControl/>
        <w:shd w:val="clear" w:color="auto" w:fill="FFFFFF"/>
        <w:spacing w:line="579" w:lineRule="exact"/>
        <w:ind w:firstLineChars="200" w:firstLine="700"/>
        <w:jc w:val="left"/>
        <w:textAlignment w:val="baseline"/>
        <w:rPr>
          <w:rFonts w:ascii="仿宋_GB2312" w:eastAsia="仿宋_GB2312" w:cs="仿宋_GB2312" w:hint="eastAsia"/>
          <w:spacing w:val="15"/>
          <w:kern w:val="0"/>
          <w:sz w:val="32"/>
          <w:szCs w:val="32"/>
        </w:rPr>
      </w:pPr>
      <w:r>
        <w:rPr>
          <w:rFonts w:ascii="仿宋_GB2312" w:eastAsia="仿宋_GB2312" w:cs="仿宋_GB2312" w:hint="eastAsia"/>
          <w:spacing w:val="15"/>
          <w:kern w:val="0"/>
          <w:sz w:val="32"/>
          <w:szCs w:val="32"/>
        </w:rPr>
        <w:t>对需要租赁办公生产场地的创业团队，可自入选“泛创业鄞州·精英引领计划”后3年内，按实际租赁费用给予补贴。A类、B类、C类项目每年场地租赁补贴额度分别最高不超过20万元、10万元、5万元。</w:t>
      </w:r>
    </w:p>
    <w:p>
      <w:pPr>
        <w:widowControl/>
        <w:shd w:val="clear" w:color="auto" w:fill="FFFFFF"/>
        <w:spacing w:line="579" w:lineRule="exact"/>
        <w:ind w:firstLineChars="200" w:firstLine="700"/>
        <w:jc w:val="left"/>
        <w:textAlignment w:val="baseline"/>
        <w:rPr>
          <w:rFonts w:ascii="仿宋_GB2312" w:eastAsia="仿宋_GB2312" w:cs="仿宋_GB2312" w:hint="eastAsia"/>
          <w:b/>
          <w:bCs/>
          <w:spacing w:val="15"/>
          <w:kern w:val="0"/>
          <w:sz w:val="32"/>
          <w:szCs w:val="32"/>
        </w:rPr>
      </w:pPr>
      <w:r>
        <w:rPr>
          <w:rFonts w:ascii="仿宋_GB2312" w:eastAsia="仿宋_GB2312" w:cs="仿宋_GB2312" w:hint="eastAsia"/>
          <w:b/>
          <w:bCs/>
          <w:spacing w:val="15"/>
          <w:kern w:val="0"/>
          <w:sz w:val="32"/>
          <w:szCs w:val="32"/>
        </w:rPr>
        <w:t>3．融资支持</w:t>
      </w:r>
    </w:p>
    <w:p>
      <w:pPr>
        <w:widowControl/>
        <w:shd w:val="clear" w:color="auto" w:fill="FFFFFF"/>
        <w:spacing w:line="579" w:lineRule="exact"/>
        <w:ind w:firstLineChars="200" w:firstLine="700"/>
        <w:jc w:val="left"/>
        <w:textAlignment w:val="baseline"/>
        <w:rPr>
          <w:rFonts w:ascii="仿宋_GB2312" w:eastAsia="仿宋_GB2312" w:cs="仿宋_GB2312" w:hint="eastAsia"/>
          <w:spacing w:val="15"/>
          <w:kern w:val="0"/>
          <w:sz w:val="32"/>
          <w:szCs w:val="32"/>
        </w:rPr>
      </w:pPr>
      <w:r>
        <w:rPr>
          <w:rFonts w:ascii="仿宋_GB2312" w:eastAsia="仿宋_GB2312" w:cs="仿宋_GB2312" w:hint="eastAsia"/>
          <w:spacing w:val="15"/>
          <w:kern w:val="0"/>
          <w:sz w:val="32"/>
          <w:szCs w:val="32"/>
        </w:rPr>
        <w:t>创业团队在入选“泛创业鄞州·精英引领计划”后3年内向银行贷款用于企业发展的，可按当年实际贷款额度和银行基准利率进行贴息。 A类、B类、C类项目每年贴息额度分别不超过30万元、20万元、10万元。</w:t>
      </w:r>
    </w:p>
    <w:p>
      <w:pPr>
        <w:widowControl/>
        <w:shd w:val="clear" w:color="auto" w:fill="FFFFFF"/>
        <w:spacing w:line="579" w:lineRule="exact"/>
        <w:ind w:firstLineChars="200" w:firstLine="700"/>
        <w:jc w:val="left"/>
        <w:textAlignment w:val="baseline"/>
        <w:rPr>
          <w:rFonts w:ascii="仿宋_GB2312" w:eastAsia="仿宋_GB2312" w:cs="仿宋_GB2312" w:hint="eastAsia"/>
          <w:b/>
          <w:bCs/>
          <w:spacing w:val="15"/>
          <w:kern w:val="0"/>
          <w:sz w:val="32"/>
          <w:szCs w:val="32"/>
        </w:rPr>
      </w:pPr>
      <w:r>
        <w:rPr>
          <w:rFonts w:ascii="仿宋_GB2312" w:eastAsia="仿宋_GB2312" w:cs="仿宋_GB2312" w:hint="eastAsia"/>
          <w:b/>
          <w:bCs/>
          <w:spacing w:val="15"/>
          <w:kern w:val="0"/>
          <w:sz w:val="32"/>
          <w:szCs w:val="32"/>
        </w:rPr>
        <w:t>4.发展激励</w:t>
      </w:r>
    </w:p>
    <w:p>
      <w:pPr>
        <w:widowControl/>
        <w:shd w:val="clear" w:color="auto" w:fill="FFFFFF"/>
        <w:spacing w:line="579" w:lineRule="exact"/>
        <w:ind w:firstLineChars="200" w:firstLine="700"/>
        <w:jc w:val="left"/>
        <w:textAlignment w:val="baseline"/>
        <w:rPr>
          <w:rFonts w:ascii="仿宋_GB2312" w:eastAsia="仿宋_GB2312" w:cs="仿宋_GB2312" w:hint="eastAsia"/>
          <w:spacing w:val="15"/>
          <w:kern w:val="0"/>
          <w:sz w:val="32"/>
          <w:szCs w:val="32"/>
        </w:rPr>
      </w:pPr>
      <w:r>
        <w:rPr>
          <w:rFonts w:ascii="仿宋_GB2312" w:eastAsia="仿宋_GB2312" w:cs="仿宋_GB2312" w:hint="eastAsia"/>
          <w:spacing w:val="15"/>
          <w:kern w:val="0"/>
          <w:sz w:val="32"/>
          <w:szCs w:val="32"/>
        </w:rPr>
        <w:t>创业团队自该项目盈利年度起，可连续3年按企业当年度对区贡献部分给予100%奖励。根据营业收入、利润等指标，企业入选计划后5年内发展成长较快、对区域经济社会发展贡献较大的，经认定后再给予最高500万元奖励。企业在境内外首发上市，在享受区级金融政策的基础上，再给予创业团队100万元的奖励。</w:t>
      </w:r>
    </w:p>
    <w:p>
      <w:pPr>
        <w:widowControl/>
        <w:shd w:val="clear" w:color="auto" w:fill="FFFFFF"/>
        <w:spacing w:line="579" w:lineRule="exact"/>
        <w:ind w:firstLineChars="200" w:firstLine="700"/>
        <w:jc w:val="left"/>
        <w:textAlignment w:val="baseline"/>
        <w:rPr>
          <w:rFonts w:ascii="楷体_GB2312" w:eastAsia="楷体_GB2312" w:cs="楷体_GB2312" w:hint="eastAsia"/>
          <w:spacing w:val="15"/>
          <w:kern w:val="0"/>
          <w:sz w:val="32"/>
          <w:szCs w:val="32"/>
        </w:rPr>
      </w:pPr>
      <w:r>
        <w:rPr>
          <w:rFonts w:ascii="楷体_GB2312" w:eastAsia="楷体_GB2312" w:cs="楷体_GB2312" w:hint="eastAsia"/>
          <w:spacing w:val="15"/>
          <w:kern w:val="0"/>
          <w:sz w:val="32"/>
          <w:szCs w:val="32"/>
        </w:rPr>
        <w:t>（二）创新团队政策</w:t>
      </w:r>
    </w:p>
    <w:p>
      <w:pPr>
        <w:widowControl/>
        <w:shd w:val="clear" w:color="auto" w:fill="FFFFFF"/>
        <w:spacing w:line="579" w:lineRule="exact"/>
        <w:ind w:firstLineChars="200" w:firstLine="700"/>
        <w:jc w:val="left"/>
        <w:textAlignment w:val="baseline"/>
        <w:rPr>
          <w:rFonts w:ascii="仿宋_GB2312" w:eastAsia="仿宋_GB2312" w:cs="仿宋_GB2312" w:hint="eastAsia"/>
          <w:spacing w:val="15"/>
          <w:kern w:val="0"/>
          <w:sz w:val="32"/>
          <w:szCs w:val="32"/>
        </w:rPr>
      </w:pPr>
      <w:r>
        <w:rPr>
          <w:rFonts w:ascii="仿宋_GB2312" w:eastAsia="仿宋_GB2312" w:cs="仿宋_GB2312" w:hint="eastAsia"/>
          <w:spacing w:val="15"/>
          <w:kern w:val="0"/>
          <w:sz w:val="32"/>
          <w:szCs w:val="32"/>
        </w:rPr>
        <w:t>对经评审入选且落户的创新团队，确定A类、B类、C类三个层次，分别给予200万元、100万元、50万元的创新项目资助。</w:t>
      </w:r>
    </w:p>
    <w:p>
      <w:pPr>
        <w:widowControl/>
        <w:shd w:val="clear" w:color="auto" w:fill="FFFFFF"/>
        <w:spacing w:line="579" w:lineRule="exact"/>
        <w:ind w:firstLineChars="200" w:firstLine="700"/>
        <w:jc w:val="left"/>
        <w:textAlignment w:val="baseline"/>
        <w:rPr>
          <w:rFonts w:ascii="楷体_GB2312" w:eastAsia="楷体_GB2312" w:cs="楷体_GB2312" w:hint="eastAsia"/>
          <w:spacing w:val="15"/>
          <w:kern w:val="0"/>
          <w:sz w:val="32"/>
          <w:szCs w:val="32"/>
        </w:rPr>
      </w:pPr>
      <w:r>
        <w:rPr>
          <w:rFonts w:ascii="楷体_GB2312" w:eastAsia="楷体_GB2312" w:cs="楷体_GB2312" w:hint="eastAsia"/>
          <w:spacing w:val="15"/>
          <w:kern w:val="0"/>
          <w:sz w:val="32"/>
          <w:szCs w:val="32"/>
        </w:rPr>
        <w:t>（三）创业（创新）人才政策</w:t>
      </w:r>
    </w:p>
    <w:p>
      <w:pPr>
        <w:widowControl/>
        <w:shd w:val="clear" w:color="auto" w:fill="FFFFFF"/>
        <w:spacing w:line="579" w:lineRule="exact"/>
        <w:jc w:val="left"/>
        <w:textAlignment w:val="baseline"/>
        <w:rPr>
          <w:rFonts w:ascii="仿宋_GB2312" w:eastAsia="仿宋_GB2312" w:cs="仿宋_GB2312" w:hint="eastAsia"/>
          <w:spacing w:val="15"/>
          <w:kern w:val="0"/>
          <w:sz w:val="32"/>
          <w:szCs w:val="32"/>
        </w:rPr>
      </w:pPr>
      <w:r>
        <w:rPr>
          <w:rFonts w:ascii="仿宋_GB2312" w:eastAsia="仿宋_GB2312" w:cs="仿宋_GB2312" w:hint="eastAsia"/>
          <w:spacing w:val="15"/>
          <w:kern w:val="0"/>
          <w:sz w:val="32"/>
          <w:szCs w:val="32"/>
        </w:rPr>
        <w:t xml:space="preserve">    对经评审入选且落户的创业人才，参照创业团队C类享受项目资助、场地补贴、融资支持、发展激励等政策支持。</w:t>
      </w:r>
    </w:p>
    <w:p>
      <w:pPr>
        <w:widowControl/>
        <w:shd w:val="clear" w:color="auto" w:fill="FFFFFF"/>
        <w:spacing w:line="579" w:lineRule="exact"/>
        <w:ind w:firstLineChars="200" w:firstLine="700"/>
        <w:jc w:val="left"/>
        <w:textAlignment w:val="baseline"/>
        <w:rPr>
          <w:rFonts w:ascii="仿宋_GB2312" w:eastAsia="仿宋_GB2312" w:cs="仿宋_GB2312" w:hint="eastAsia"/>
          <w:spacing w:val="15"/>
          <w:kern w:val="0"/>
          <w:sz w:val="32"/>
          <w:szCs w:val="32"/>
        </w:rPr>
      </w:pPr>
      <w:r>
        <w:rPr>
          <w:rFonts w:ascii="仿宋_GB2312" w:eastAsia="仿宋_GB2312" w:cs="仿宋_GB2312" w:hint="eastAsia"/>
          <w:spacing w:val="15"/>
          <w:kern w:val="0"/>
          <w:sz w:val="32"/>
          <w:szCs w:val="32"/>
        </w:rPr>
        <w:t>对经评审入选且全职到岗的创新人才，给予50万元的创新资助。</w:t>
      </w:r>
    </w:p>
    <w:p>
      <w:pPr>
        <w:widowControl/>
        <w:shd w:val="clear" w:color="auto" w:fill="FFFFFF"/>
        <w:spacing w:line="579" w:lineRule="exact"/>
        <w:ind w:firstLine="480"/>
        <w:jc w:val="left"/>
        <w:textAlignment w:val="baseline"/>
        <w:rPr>
          <w:rFonts w:ascii="仿宋_GB2312" w:eastAsia="仿宋_GB2312" w:cs="仿宋_GB2312" w:hint="eastAsia"/>
          <w:spacing w:val="15"/>
          <w:kern w:val="0"/>
          <w:sz w:val="32"/>
          <w:szCs w:val="32"/>
        </w:rPr>
      </w:pPr>
      <w:r>
        <w:rPr>
          <w:rFonts w:ascii="楷体_GB2312" w:eastAsia="楷体_GB2312" w:cs="楷体_GB2312" w:hint="eastAsia"/>
          <w:spacing w:val="15"/>
          <w:kern w:val="0"/>
          <w:sz w:val="32"/>
          <w:szCs w:val="32"/>
        </w:rPr>
        <w:t>（四）入选“泛创业鄞州·精英引领计划”的创业（创新）人才（团队），还可享受以下政策：</w:t>
      </w:r>
    </w:p>
    <w:p>
      <w:pPr>
        <w:widowControl/>
        <w:shd w:val="clear" w:color="auto" w:fill="FFFFFF"/>
        <w:spacing w:line="579" w:lineRule="exact"/>
        <w:ind w:firstLineChars="200" w:firstLine="700"/>
        <w:jc w:val="left"/>
        <w:textAlignment w:val="baseline"/>
        <w:rPr>
          <w:rFonts w:ascii="仿宋_GB2312" w:eastAsia="仿宋_GB2312" w:cs="仿宋_GB2312" w:hint="eastAsia"/>
          <w:spacing w:val="15"/>
          <w:kern w:val="0"/>
          <w:sz w:val="32"/>
          <w:szCs w:val="32"/>
        </w:rPr>
      </w:pPr>
      <w:r>
        <w:rPr>
          <w:rFonts w:ascii="仿宋_GB2312" w:eastAsia="仿宋_GB2312" w:cs="仿宋_GB2312" w:hint="eastAsia"/>
          <w:b/>
          <w:bCs/>
          <w:spacing w:val="15"/>
          <w:kern w:val="0"/>
          <w:sz w:val="32"/>
          <w:szCs w:val="32"/>
        </w:rPr>
        <w:t>1.住房保障</w:t>
      </w:r>
    </w:p>
    <w:p>
      <w:pPr>
        <w:widowControl/>
        <w:shd w:val="clear" w:color="auto" w:fill="FFFFFF"/>
        <w:spacing w:line="579" w:lineRule="exact"/>
        <w:ind w:firstLineChars="200" w:firstLine="700"/>
        <w:jc w:val="left"/>
        <w:textAlignment w:val="baseline"/>
        <w:rPr>
          <w:rFonts w:ascii="仿宋_GB2312" w:eastAsia="仿宋_GB2312" w:cs="仿宋_GB2312" w:hint="eastAsia"/>
          <w:spacing w:val="15"/>
          <w:kern w:val="0"/>
          <w:sz w:val="32"/>
          <w:szCs w:val="32"/>
        </w:rPr>
      </w:pPr>
      <w:r>
        <w:rPr>
          <w:rFonts w:ascii="仿宋_GB2312" w:eastAsia="仿宋_GB2312" w:cs="仿宋_GB2312" w:hint="eastAsia"/>
          <w:spacing w:val="15"/>
          <w:kern w:val="0"/>
          <w:sz w:val="32"/>
          <w:szCs w:val="32"/>
        </w:rPr>
        <w:t>创业（创新）团队带头人、创业（创新）人才在入选“泛创业鄞州·精英引领计划”后前3年申请租住区人才公寓（公租房）的，全额补贴房租，自行解决住房的，给予人才最高3万元/年·人的房租补贴。</w:t>
      </w:r>
    </w:p>
    <w:p>
      <w:pPr>
        <w:widowControl/>
        <w:shd w:val="clear" w:color="auto" w:fill="FFFFFF"/>
        <w:spacing w:line="579" w:lineRule="exact"/>
        <w:ind w:firstLineChars="200" w:firstLine="700"/>
        <w:jc w:val="left"/>
        <w:textAlignment w:val="baseline"/>
        <w:rPr>
          <w:rFonts w:ascii="仿宋_GB2312" w:eastAsia="仿宋_GB2312" w:cs="仿宋_GB2312" w:hint="eastAsia"/>
          <w:spacing w:val="15"/>
          <w:kern w:val="0"/>
          <w:sz w:val="32"/>
          <w:szCs w:val="32"/>
        </w:rPr>
      </w:pPr>
      <w:r>
        <w:rPr>
          <w:rFonts w:ascii="仿宋_GB2312" w:eastAsia="仿宋_GB2312" w:cs="仿宋_GB2312" w:hint="eastAsia"/>
          <w:b/>
          <w:bCs/>
          <w:spacing w:val="15"/>
          <w:kern w:val="0"/>
          <w:sz w:val="32"/>
          <w:szCs w:val="32"/>
        </w:rPr>
        <w:t>2. 工作津贴</w:t>
      </w:r>
    </w:p>
    <w:p>
      <w:pPr>
        <w:widowControl/>
        <w:shd w:val="clear" w:color="auto" w:fill="FFFFFF"/>
        <w:spacing w:line="579" w:lineRule="exact"/>
        <w:ind w:firstLineChars="200" w:firstLine="700"/>
        <w:jc w:val="left"/>
        <w:textAlignment w:val="baseline"/>
        <w:rPr>
          <w:rFonts w:ascii="仿宋_GB2312" w:eastAsia="仿宋_GB2312" w:cs="仿宋_GB2312" w:hint="eastAsia"/>
          <w:spacing w:val="15"/>
          <w:kern w:val="0"/>
          <w:sz w:val="32"/>
          <w:szCs w:val="32"/>
        </w:rPr>
      </w:pPr>
      <w:r>
        <w:rPr>
          <w:rFonts w:ascii="仿宋_GB2312" w:eastAsia="仿宋_GB2312" w:cs="仿宋_GB2312" w:hint="eastAsia"/>
          <w:spacing w:val="15"/>
          <w:kern w:val="0"/>
          <w:sz w:val="32"/>
          <w:szCs w:val="32"/>
        </w:rPr>
        <w:t>创业（创新）团队带头人、创业（创新）人才在入选“泛创业鄞州·精英引领计划”后前3年，按其个人工资薪金对区贡献部分部分，100%给予工作津贴。股权转让、红利所得的个人所得税在10万元以上的，超额部分对区贡献的50%奖励给个人，最高奖励金额不超过100万元。</w:t>
      </w:r>
    </w:p>
    <w:p>
      <w:pPr>
        <w:widowControl/>
        <w:shd w:val="clear" w:color="auto" w:fill="FFFFFF"/>
        <w:spacing w:line="579" w:lineRule="exact"/>
        <w:ind w:firstLineChars="200" w:firstLine="700"/>
        <w:jc w:val="left"/>
        <w:textAlignment w:val="baseline"/>
        <w:rPr>
          <w:rFonts w:ascii="仿宋_GB2312" w:eastAsia="仿宋_GB2312" w:cs="仿宋_GB2312" w:hint="eastAsia"/>
          <w:b/>
          <w:bCs/>
          <w:spacing w:val="15"/>
          <w:kern w:val="0"/>
          <w:sz w:val="32"/>
          <w:szCs w:val="32"/>
        </w:rPr>
      </w:pPr>
      <w:r>
        <w:rPr>
          <w:rFonts w:ascii="仿宋_GB2312" w:eastAsia="仿宋_GB2312" w:cs="仿宋_GB2312" w:hint="eastAsia"/>
          <w:b/>
          <w:bCs/>
          <w:spacing w:val="15"/>
          <w:kern w:val="0"/>
          <w:sz w:val="32"/>
          <w:szCs w:val="32"/>
        </w:rPr>
        <w:t>3．培养发展</w:t>
      </w:r>
    </w:p>
    <w:p>
      <w:pPr>
        <w:widowControl/>
        <w:shd w:val="clear" w:color="auto" w:fill="FFFFFF"/>
        <w:spacing w:line="579" w:lineRule="exact"/>
        <w:ind w:firstLineChars="200" w:firstLine="700"/>
        <w:jc w:val="left"/>
        <w:textAlignment w:val="baseline"/>
        <w:rPr>
          <w:rFonts w:ascii="仿宋_GB2312" w:eastAsia="仿宋_GB2312" w:cs="仿宋_GB2312" w:hint="eastAsia"/>
          <w:spacing w:val="15"/>
          <w:kern w:val="0"/>
          <w:sz w:val="32"/>
          <w:szCs w:val="32"/>
        </w:rPr>
      </w:pPr>
      <w:r>
        <w:rPr>
          <w:rFonts w:ascii="仿宋_GB2312" w:eastAsia="仿宋_GB2312" w:cs="仿宋_GB2312" w:hint="eastAsia"/>
          <w:spacing w:val="15"/>
          <w:kern w:val="0"/>
          <w:sz w:val="32"/>
          <w:szCs w:val="32"/>
        </w:rPr>
        <w:t>创业（创新）团队带头人和创业（创新）人才在入选“泛创业鄞州·精英引领计划”后前5年，赴国外参加各种国际学术会议、行业论坛的机票费用及会务费的，给予交通费及会务费80%的补助，每年最高不超过6万元。优先推荐申报国家、省、市重点人才计划、“百千万人才工程”、“151人才工程”、“领军拔类人才培养工程”等各级培养工程人选。成功入选国家、省重点人才计划的，按照国家、省资助额度分别给予1:1配套资助，其中入选国家重点人才计划的，再给予一次性50万元的奖励。</w:t>
      </w:r>
    </w:p>
    <w:p>
      <w:pPr>
        <w:widowControl/>
        <w:shd w:val="clear" w:color="auto" w:fill="FFFFFF"/>
        <w:spacing w:line="579" w:lineRule="exact"/>
        <w:ind w:firstLineChars="200" w:firstLine="700"/>
        <w:jc w:val="left"/>
        <w:textAlignment w:val="baseline"/>
        <w:rPr>
          <w:rFonts w:ascii="仿宋_GB2312" w:eastAsia="仿宋_GB2312" w:cs="仿宋_GB2312" w:hint="eastAsia"/>
          <w:b/>
          <w:bCs/>
          <w:spacing w:val="15"/>
          <w:kern w:val="0"/>
          <w:sz w:val="32"/>
          <w:szCs w:val="32"/>
        </w:rPr>
      </w:pPr>
      <w:r>
        <w:rPr>
          <w:rFonts w:ascii="仿宋_GB2312" w:eastAsia="仿宋_GB2312" w:cs="仿宋_GB2312" w:hint="eastAsia"/>
          <w:b/>
          <w:bCs/>
          <w:spacing w:val="15"/>
          <w:kern w:val="0"/>
          <w:sz w:val="32"/>
          <w:szCs w:val="32"/>
        </w:rPr>
        <w:t>4．子女就学</w:t>
      </w:r>
    </w:p>
    <w:p>
      <w:pPr>
        <w:widowControl/>
        <w:shd w:val="clear" w:color="auto" w:fill="FFFFFF"/>
        <w:spacing w:line="579" w:lineRule="exact"/>
        <w:ind w:firstLineChars="200" w:firstLine="700"/>
        <w:jc w:val="left"/>
        <w:textAlignment w:val="baseline"/>
        <w:rPr>
          <w:rFonts w:ascii="仿宋_GB2312" w:eastAsia="仿宋_GB2312" w:cs="仿宋_GB2312" w:hint="eastAsia"/>
          <w:spacing w:val="15"/>
          <w:kern w:val="0"/>
          <w:sz w:val="32"/>
          <w:szCs w:val="32"/>
        </w:rPr>
      </w:pPr>
      <w:r>
        <w:rPr>
          <w:rFonts w:ascii="仿宋_GB2312" w:eastAsia="仿宋_GB2312" w:cs="仿宋_GB2312" w:hint="eastAsia"/>
          <w:spacing w:val="15"/>
          <w:kern w:val="0"/>
          <w:sz w:val="32"/>
          <w:szCs w:val="32"/>
        </w:rPr>
        <w:t>创业（创新）团队带头人和创业（创新）人才的子女申请就读公办初中、小学、幼儿园的，根据人才居住区域或就学意向，以及学校入学要求等，经区人社局审核后，可在区教育部门提供的具备优质教育资源的公办学校中选择就读一次；就读区内民办学校的，每生每学期补助1万元，最长3年。</w:t>
      </w:r>
    </w:p>
    <w:p>
      <w:pPr>
        <w:widowControl/>
        <w:shd w:val="clear" w:color="auto" w:fill="FFFFFF"/>
        <w:spacing w:line="579" w:lineRule="exact"/>
        <w:ind w:firstLineChars="200" w:firstLine="700"/>
        <w:jc w:val="left"/>
        <w:textAlignment w:val="baseline"/>
        <w:rPr>
          <w:rFonts w:ascii="仿宋_GB2312" w:eastAsia="仿宋_GB2312" w:cs="仿宋_GB2312" w:hint="eastAsia"/>
          <w:b/>
          <w:bCs/>
          <w:spacing w:val="15"/>
          <w:kern w:val="0"/>
          <w:sz w:val="32"/>
          <w:szCs w:val="32"/>
        </w:rPr>
      </w:pPr>
      <w:r>
        <w:rPr>
          <w:rFonts w:ascii="仿宋_GB2312" w:eastAsia="仿宋_GB2312" w:cs="仿宋_GB2312" w:hint="eastAsia"/>
          <w:b/>
          <w:bCs/>
          <w:spacing w:val="15"/>
          <w:kern w:val="0"/>
          <w:sz w:val="32"/>
          <w:szCs w:val="32"/>
        </w:rPr>
        <w:t>5．医疗保障</w:t>
      </w:r>
    </w:p>
    <w:p>
      <w:pPr>
        <w:widowControl/>
        <w:shd w:val="clear" w:color="auto" w:fill="FFFFFF"/>
        <w:spacing w:line="579" w:lineRule="exact"/>
        <w:ind w:firstLineChars="200" w:firstLine="700"/>
        <w:jc w:val="left"/>
        <w:textAlignment w:val="baseline"/>
        <w:rPr>
          <w:rFonts w:ascii="仿宋_GB2312" w:eastAsia="仿宋_GB2312" w:cs="仿宋_GB2312" w:hint="eastAsia"/>
          <w:spacing w:val="15"/>
          <w:kern w:val="0"/>
          <w:sz w:val="32"/>
          <w:szCs w:val="32"/>
        </w:rPr>
      </w:pPr>
      <w:r>
        <w:rPr>
          <w:rFonts w:ascii="仿宋_GB2312" w:eastAsia="仿宋_GB2312" w:cs="仿宋_GB2312" w:hint="eastAsia"/>
          <w:spacing w:val="15"/>
          <w:kern w:val="0"/>
          <w:sz w:val="32"/>
          <w:szCs w:val="32"/>
        </w:rPr>
        <w:t>设立高层次人才健康服务定点医院，对创业（创新）团队带头人、创业（创新）人才给予定点医院优先安排、专家预约、医疗特需服务等绿色就医通道服务。定期组织创业团队带头人和创新人才选择省内外优质医疗资源进行全面体检，并做好日常保健工作。</w:t>
      </w:r>
    </w:p>
    <w:p>
      <w:pPr>
        <w:widowControl/>
        <w:shd w:val="clear" w:color="auto" w:fill="FFFFFF"/>
        <w:spacing w:line="579" w:lineRule="exact"/>
        <w:ind w:firstLineChars="200" w:firstLine="640"/>
        <w:textAlignment w:val="baseline"/>
        <w:rPr>
          <w:rFonts w:ascii="仿宋_GB2312" w:eastAsia="仿宋_GB2312" w:cs="仿宋_GB2312" w:hint="eastAsia"/>
          <w:spacing w:val="15"/>
          <w:kern w:val="0"/>
          <w:sz w:val="32"/>
          <w:szCs w:val="32"/>
        </w:rPr>
      </w:pPr>
      <w:r>
        <w:rPr>
          <w:rFonts w:ascii="仿宋_GB2312" w:eastAsia="仿宋_GB2312" w:cs="仿宋_GB2312" w:hint="eastAsia"/>
          <w:b/>
          <w:bCs/>
          <w:color w:val="000000"/>
          <w:sz w:val="32"/>
          <w:szCs w:val="32"/>
        </w:rPr>
        <w:t>6.市“泛3315计划”及以上人才计划支持政策。</w:t>
      </w:r>
      <w:r>
        <w:rPr>
          <w:rFonts w:ascii="仿宋_GB2312" w:eastAsia="仿宋_GB2312" w:cs="仿宋_GB2312" w:hint="eastAsia"/>
          <w:spacing w:val="15"/>
          <w:kern w:val="0"/>
          <w:sz w:val="32"/>
          <w:szCs w:val="32"/>
        </w:rPr>
        <w:t>列入市“泛3315计划”的，按照市资助额度给予最高1:1配套资助。对创业类人才（团队），已入选“泛创业鄞州·精英引领计划”或享受过其他资助的，已资助部分视作配套，不足部分予以补足；尚未入选“泛创业鄞州·精英引领计划”的，可享受除项目资助外的其他创业和保障政策，其中入选国家重点人才计划的，按照创业团队A类标准；入选省重点人才计划的，按照创业团队B类标准；入选市“泛3315计划”创业团队的，直接纳入“泛创业鄞州·精英引领计划”，按入选层次给予相应政策支持；入选市“泛3315计划”创业人才的，按“泛创业鄞州·精英引领计划”创业人才给予相应政策支持；对创新类人才（团队），直接纳入“泛创业鄞州·精英引领计划”，享受相应创新配套政策。</w:t>
      </w:r>
    </w:p>
    <w:p>
      <w:pPr>
        <w:spacing w:line="579" w:lineRule="exact"/>
        <w:ind w:firstLineChars="250" w:firstLine="800"/>
        <w:rPr>
          <w:rFonts w:ascii="黑体" w:eastAsia="黑体"/>
          <w:sz w:val="32"/>
          <w:szCs w:val="32"/>
        </w:rPr>
      </w:pPr>
      <w:r>
        <w:rPr>
          <w:rFonts w:ascii="黑体" w:eastAsia="黑体" w:hint="eastAsia"/>
          <w:sz w:val="32"/>
          <w:szCs w:val="32"/>
        </w:rPr>
        <w:t>五、申报评审程序</w:t>
      </w:r>
    </w:p>
    <w:p>
      <w:pPr>
        <w:spacing w:line="579" w:lineRule="exact"/>
        <w:ind w:firstLineChars="200" w:firstLine="640"/>
        <w:rPr>
          <w:rFonts w:ascii="仿宋_GB2312" w:eastAsia="仿宋_GB2312"/>
          <w:sz w:val="32"/>
          <w:szCs w:val="32"/>
        </w:rPr>
      </w:pPr>
      <w:r>
        <w:rPr>
          <w:rFonts w:ascii="楷体_GB2312" w:eastAsia="楷体_GB2312" w:cs="楷体_GB2312" w:hint="eastAsia"/>
          <w:sz w:val="32"/>
          <w:szCs w:val="32"/>
        </w:rPr>
        <w:t>（一）资料申报。</w:t>
      </w:r>
      <w:r>
        <w:rPr>
          <w:rFonts w:ascii="仿宋_GB2312" w:eastAsia="仿宋_GB2312" w:hint="eastAsia"/>
          <w:sz w:val="32"/>
          <w:szCs w:val="32"/>
        </w:rPr>
        <w:t>自公告发布之日起，符合申报条件的单位或个人通过“鄞州区人力资源和社会保障局网”</w:t>
      </w:r>
      <w:r>
        <w:rPr>
          <w:rFonts w:ascii="仿宋_GB2312" w:eastAsia="仿宋_GB2312"/>
          <w:sz w:val="32"/>
          <w:szCs w:val="32"/>
        </w:rPr>
        <w:t>(</w:t>
      </w:r>
      <w:r>
        <w:rPr>
          <w:rStyle w:val="20"/>
          <w:rFonts w:ascii="仿宋_GB2312" w:eastAsia="仿宋_GB2312" w:hint="eastAsia"/>
          <w:sz w:val="32"/>
          <w:szCs w:val="32"/>
        </w:rPr>
        <w:fldChar w:fldCharType="begin"/>
      </w:r>
      <w:r>
        <w:instrText>HYPERLINK "http://www.nbyz.gov.cn/col/col107405/index.html"</w:instrText>
      </w:r>
      <w:r>
        <w:rPr>
          <w:rStyle w:val="20"/>
          <w:rFonts w:ascii="仿宋_GB2312" w:eastAsia="仿宋_GB2312" w:hint="eastAsia"/>
          <w:sz w:val="32"/>
          <w:szCs w:val="32"/>
        </w:rPr>
        <w:fldChar w:fldCharType="separate"/>
      </w:r>
      <w:r>
        <w:rPr>
          <w:rStyle w:val="20"/>
          <w:rFonts w:ascii="仿宋_GB2312" w:eastAsia="仿宋_GB2312" w:hint="eastAsia"/>
          <w:sz w:val="32"/>
          <w:szCs w:val="32"/>
        </w:rPr>
        <w:t>www.nbyz.gov.cn/col/col107405/index.html</w:t>
      </w:r>
      <w:r>
        <w:rPr>
          <w:rStyle w:val="20"/>
          <w:rFonts w:ascii="仿宋_GB2312" w:eastAsia="仿宋_GB2312" w:hint="eastAsia"/>
          <w:sz w:val="32"/>
          <w:szCs w:val="32"/>
        </w:rPr>
        <w:fldChar w:fldCharType="end"/>
      </w:r>
      <w:r>
        <w:rPr>
          <w:rFonts w:ascii="仿宋_GB2312" w:eastAsia="仿宋_GB2312" w:hint="eastAsia"/>
          <w:sz w:val="32"/>
          <w:szCs w:val="32"/>
        </w:rPr>
        <w:t>、微信公众号“创业鄞州精英引领”或本部门网站下载申报表格，按照填报要求填写相应资料，并发送至指定电子邮箱。申报常年受理，本批申报受理截止时间为</w:t>
      </w:r>
      <w:r>
        <w:rPr>
          <w:rFonts w:ascii="仿宋_GB2312" w:eastAsia="仿宋_GB2312"/>
          <w:b/>
          <w:sz w:val="32"/>
          <w:szCs w:val="32"/>
        </w:rPr>
        <w:t>2020</w:t>
      </w:r>
      <w:r>
        <w:rPr>
          <w:rFonts w:ascii="仿宋_GB2312" w:eastAsia="仿宋_GB2312" w:hint="eastAsia"/>
          <w:b/>
          <w:sz w:val="32"/>
          <w:szCs w:val="32"/>
        </w:rPr>
        <w:t>年4月15日，</w:t>
      </w:r>
      <w:r>
        <w:rPr>
          <w:rFonts w:ascii="仿宋_GB2312" w:eastAsia="仿宋_GB2312" w:hint="eastAsia"/>
          <w:sz w:val="32"/>
          <w:szCs w:val="32"/>
        </w:rPr>
        <w:t>逾期申报的，纳入下一批评审。</w:t>
      </w:r>
    </w:p>
    <w:p>
      <w:pPr>
        <w:spacing w:line="579" w:lineRule="exact"/>
        <w:ind w:firstLineChars="200" w:firstLine="640"/>
        <w:rPr>
          <w:rFonts w:ascii="仿宋_GB2312" w:eastAsia="仿宋_GB2312"/>
          <w:sz w:val="32"/>
          <w:szCs w:val="32"/>
        </w:rPr>
      </w:pPr>
      <w:r>
        <w:rPr>
          <w:rFonts w:ascii="楷体_GB2312" w:eastAsia="楷体_GB2312" w:cs="楷体_GB2312" w:hint="eastAsia"/>
          <w:sz w:val="32"/>
          <w:szCs w:val="32"/>
        </w:rPr>
        <w:t>（二）组织评审。</w:t>
      </w:r>
      <w:r>
        <w:rPr>
          <w:rFonts w:ascii="仿宋_GB2312" w:eastAsia="仿宋_GB2312" w:hint="eastAsia"/>
          <w:sz w:val="32"/>
          <w:szCs w:val="32"/>
        </w:rPr>
        <w:t>各领域分别组织专家通过书面评审、现场答辩等方式进行评审，提出</w:t>
      </w:r>
      <w:r>
        <w:rPr>
          <w:rFonts w:ascii="仿宋_GB2312" w:eastAsia="仿宋_GB2312" w:cs="仿宋_GB2312" w:hint="eastAsia"/>
          <w:spacing w:val="15"/>
          <w:kern w:val="0"/>
          <w:sz w:val="32"/>
          <w:szCs w:val="32"/>
        </w:rPr>
        <w:t>入围建议人选</w:t>
      </w:r>
      <w:r>
        <w:rPr>
          <w:rFonts w:ascii="仿宋_GB2312" w:eastAsia="仿宋_GB2312" w:hint="eastAsia"/>
          <w:sz w:val="32"/>
          <w:szCs w:val="32"/>
        </w:rPr>
        <w:t>名单。具体评审方式参见各领域分公告。</w:t>
      </w:r>
    </w:p>
    <w:p>
      <w:pPr>
        <w:spacing w:line="579" w:lineRule="exact"/>
        <w:ind w:firstLineChars="200" w:firstLine="640"/>
        <w:rPr>
          <w:rFonts w:ascii="仿宋_GB2312" w:eastAsia="仿宋_GB2312"/>
          <w:sz w:val="32"/>
          <w:szCs w:val="32"/>
        </w:rPr>
      </w:pPr>
      <w:r>
        <w:rPr>
          <w:rFonts w:ascii="楷体_GB2312" w:eastAsia="楷体_GB2312" w:cs="楷体_GB2312" w:hint="eastAsia"/>
          <w:sz w:val="32"/>
          <w:szCs w:val="32"/>
        </w:rPr>
        <w:t>（三）尽职调查。</w:t>
      </w:r>
      <w:r>
        <w:rPr>
          <w:rFonts w:ascii="仿宋_GB2312" w:eastAsia="仿宋_GB2312" w:hint="eastAsia"/>
          <w:sz w:val="32"/>
          <w:szCs w:val="32"/>
        </w:rPr>
        <w:t>邀请第三方风险投资机构，对入围人才项目带头人及团队成员实力、曾经创办企业情况、曾经入选异地人才计划情况、项目科技含量及市场前景等指标进行综合考量。</w:t>
      </w:r>
    </w:p>
    <w:p>
      <w:pPr>
        <w:spacing w:line="579" w:lineRule="exact"/>
        <w:ind w:firstLineChars="200" w:firstLine="640"/>
        <w:rPr>
          <w:rFonts w:ascii="仿宋_GB2312" w:eastAsia="仿宋_GB2312"/>
          <w:sz w:val="32"/>
          <w:szCs w:val="32"/>
        </w:rPr>
      </w:pPr>
      <w:r>
        <w:rPr>
          <w:rFonts w:ascii="楷体_GB2312" w:eastAsia="楷体_GB2312" w:cs="楷体_GB2312" w:hint="eastAsia"/>
          <w:sz w:val="32"/>
          <w:szCs w:val="32"/>
        </w:rPr>
        <w:t>（五）审批公示。</w:t>
      </w:r>
      <w:r>
        <w:rPr>
          <w:rFonts w:ascii="仿宋_GB2312" w:eastAsia="仿宋_GB2312" w:hint="eastAsia"/>
          <w:sz w:val="32"/>
          <w:szCs w:val="32"/>
        </w:rPr>
        <w:t>建议人选报经区委人才工作领导小组审定后，确定最终入选名单。</w:t>
      </w:r>
    </w:p>
    <w:p>
      <w:pPr>
        <w:spacing w:line="579" w:lineRule="exact"/>
        <w:ind w:firstLineChars="250" w:firstLine="800"/>
        <w:rPr>
          <w:rFonts w:ascii="黑体" w:eastAsia="黑体"/>
          <w:sz w:val="32"/>
          <w:szCs w:val="32"/>
        </w:rPr>
      </w:pPr>
      <w:r>
        <w:rPr>
          <w:rFonts w:ascii="黑体" w:eastAsia="黑体" w:hint="eastAsia"/>
          <w:sz w:val="32"/>
          <w:szCs w:val="32"/>
        </w:rPr>
        <w:t>六、其它事项</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一）“泛创业鄞州·精英引领计划”人才和团队须遵守相关法律和财政财务纪律，对弄虚作假、骗取财政资金的单位和个人，将根据情节轻重全部或部分收回资助经费，存在违法行为的，依法追究相关单位和人员的法律责任。</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（二）入选“泛创业鄞州·精英引领计划”，已享受我区其他扶持政策的，按照就高不重复的原则执行。</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三）已入选“泛创业鄞州·精英引领计划”的人才和团队（含带头人和成员）不得申报“创业鄞州·精英引领计划”，已入选“创业鄞州·精英引领计划”的人才和团队（含带头人和成员）不得申报“泛创业鄞州·精英引领计划”。</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（四）本办法自发布之日起实施。由鄞州区科技局负责解释。</w:t>
      </w:r>
    </w:p>
    <w:p>
      <w:pPr>
        <w:widowControl/>
        <w:shd w:val="clear" w:color="auto" w:fill="FFFFFF"/>
        <w:spacing w:line="579" w:lineRule="exact"/>
        <w:ind w:firstLineChars="200" w:firstLine="640"/>
        <w:jc w:val="left"/>
        <w:textAlignment w:val="baseline"/>
        <w:rPr>
          <w:rFonts w:ascii="仿宋_GB2312" w:eastAsia="仿宋_GB2312" w:cs="仿宋_GB2312"/>
          <w:kern w:val="0"/>
          <w:sz w:val="32"/>
          <w:szCs w:val="32"/>
        </w:rPr>
      </w:pPr>
      <w:r>
        <w:rPr>
          <w:rFonts w:ascii="仿宋_GB2312" w:eastAsia="仿宋_GB2312" w:cs="仿宋_GB2312" w:hint="eastAsia"/>
          <w:kern w:val="0"/>
          <w:sz w:val="32"/>
          <w:szCs w:val="32"/>
        </w:rPr>
        <w:t>联系人</w:t>
      </w:r>
      <w:r>
        <w:rPr>
          <w:rFonts w:ascii="仿宋_GB2312" w:eastAsia="仿宋_GB2312" w:cs="仿宋_GB2312"/>
          <w:kern w:val="0"/>
          <w:sz w:val="32"/>
          <w:szCs w:val="32"/>
        </w:rPr>
        <w:t>：</w:t>
      </w:r>
    </w:p>
    <w:p>
      <w:pPr>
        <w:widowControl/>
        <w:shd w:val="clear" w:color="auto" w:fill="FFFFFF"/>
        <w:spacing w:line="579" w:lineRule="exact"/>
        <w:ind w:firstLineChars="200" w:firstLine="640"/>
        <w:jc w:val="left"/>
        <w:textAlignment w:val="baseline"/>
        <w:rPr>
          <w:rFonts w:ascii="仿宋_GB2312" w:eastAsia="仿宋_GB2312" w:cs="仿宋_GB2312"/>
          <w:kern w:val="0"/>
          <w:sz w:val="32"/>
          <w:szCs w:val="32"/>
        </w:rPr>
      </w:pPr>
      <w:r>
        <w:rPr>
          <w:rFonts w:ascii="仿宋_GB2312" w:eastAsia="仿宋_GB2312" w:cs="仿宋_GB2312" w:hint="eastAsia"/>
          <w:kern w:val="0"/>
          <w:sz w:val="32"/>
          <w:szCs w:val="32"/>
        </w:rPr>
        <w:t>科技服务联系人：梁老师，</w:t>
      </w:r>
      <w:r>
        <w:rPr>
          <w:rFonts w:ascii="仿宋_GB2312" w:eastAsia="仿宋_GB2312" w:cs="仿宋_GB2312"/>
          <w:kern w:val="0"/>
          <w:sz w:val="32"/>
          <w:szCs w:val="32"/>
        </w:rPr>
        <w:t>0574-89295725</w:t>
      </w:r>
      <w:r>
        <w:rPr>
          <w:rFonts w:ascii="仿宋_GB2312" w:eastAsia="仿宋_GB2312" w:cs="仿宋_GB2312" w:hint="eastAsia"/>
          <w:kern w:val="0"/>
          <w:sz w:val="32"/>
          <w:szCs w:val="32"/>
        </w:rPr>
        <w:t>，18958276896</w:t>
      </w:r>
    </w:p>
    <w:p>
      <w:pPr>
        <w:widowControl/>
        <w:shd w:val="clear" w:color="auto" w:fill="FFFFFF"/>
        <w:spacing w:line="579" w:lineRule="exact"/>
        <w:ind w:firstLineChars="200" w:firstLine="640"/>
        <w:jc w:val="left"/>
        <w:textAlignment w:val="baseline"/>
        <w:rPr>
          <w:rFonts w:ascii="仿宋_GB2312" w:eastAsia="仿宋_GB2312" w:cs="仿宋_GB2312"/>
          <w:kern w:val="0"/>
          <w:sz w:val="32"/>
          <w:szCs w:val="32"/>
        </w:rPr>
      </w:pPr>
      <w:r>
        <w:rPr>
          <w:rFonts w:ascii="仿宋_GB2312" w:eastAsia="仿宋_GB2312" w:cs="仿宋_GB2312" w:hint="eastAsia"/>
          <w:kern w:val="0"/>
          <w:sz w:val="32"/>
          <w:szCs w:val="32"/>
        </w:rPr>
        <w:t>李老师，</w:t>
      </w:r>
      <w:r>
        <w:rPr>
          <w:rFonts w:ascii="仿宋_GB2312" w:eastAsia="仿宋_GB2312" w:cs="仿宋_GB2312"/>
          <w:kern w:val="0"/>
          <w:sz w:val="32"/>
          <w:szCs w:val="32"/>
        </w:rPr>
        <w:t>0574-89295730</w:t>
      </w:r>
      <w:r>
        <w:rPr>
          <w:rFonts w:ascii="仿宋_GB2312" w:eastAsia="仿宋_GB2312" w:cs="仿宋_GB2312" w:hint="eastAsia"/>
          <w:kern w:val="0"/>
          <w:sz w:val="32"/>
          <w:szCs w:val="32"/>
        </w:rPr>
        <w:t>，15258275175</w:t>
      </w:r>
    </w:p>
    <w:p>
      <w:pPr>
        <w:widowControl/>
        <w:shd w:val="clear" w:color="auto" w:fill="FFFFFF"/>
        <w:spacing w:line="579" w:lineRule="exact"/>
        <w:jc w:val="left"/>
        <w:textAlignment w:val="baseline"/>
        <w:rPr>
          <w:rFonts w:ascii="仿宋_GB2312" w:eastAsia="仿宋_GB2312" w:cs="仿宋_GB2312"/>
          <w:kern w:val="0"/>
          <w:sz w:val="32"/>
          <w:szCs w:val="32"/>
        </w:rPr>
      </w:pP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附件：</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1.20</w:t>
      </w:r>
      <w:r>
        <w:rPr>
          <w:rFonts w:ascii="仿宋_GB2312" w:eastAsia="仿宋_GB2312" w:cs="仿宋_GB2312"/>
          <w:spacing w:val="15"/>
          <w:kern w:val="0"/>
          <w:sz w:val="32"/>
          <w:szCs w:val="32"/>
        </w:rPr>
        <w:t>20</w:t>
      </w:r>
      <w:r>
        <w:rPr>
          <w:rFonts w:ascii="仿宋_GB2312" w:eastAsia="仿宋_GB2312" w:cs="仿宋_GB2312" w:hint="eastAsia"/>
          <w:spacing w:val="15"/>
          <w:kern w:val="0"/>
          <w:sz w:val="32"/>
          <w:szCs w:val="32"/>
        </w:rPr>
        <w:t>年宁波市鄞州区“泛创业鄞州·精英引领计划”科技服务创业团队申报书</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2.20</w:t>
      </w:r>
      <w:r>
        <w:rPr>
          <w:rFonts w:ascii="仿宋_GB2312" w:eastAsia="仿宋_GB2312" w:cs="仿宋_GB2312"/>
          <w:spacing w:val="15"/>
          <w:kern w:val="0"/>
          <w:sz w:val="32"/>
          <w:szCs w:val="32"/>
        </w:rPr>
        <w:t>20</w:t>
      </w:r>
      <w:r>
        <w:rPr>
          <w:rFonts w:ascii="仿宋_GB2312" w:eastAsia="仿宋_GB2312" w:cs="仿宋_GB2312" w:hint="eastAsia"/>
          <w:spacing w:val="15"/>
          <w:kern w:val="0"/>
          <w:sz w:val="32"/>
          <w:szCs w:val="32"/>
        </w:rPr>
        <w:t>年宁波市鄞州区“泛创业鄞州·精英引领计划”科技服务创新团队申报书</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3.20</w:t>
      </w:r>
      <w:r>
        <w:rPr>
          <w:rFonts w:ascii="仿宋_GB2312" w:eastAsia="仿宋_GB2312" w:cs="仿宋_GB2312"/>
          <w:spacing w:val="15"/>
          <w:kern w:val="0"/>
          <w:sz w:val="32"/>
          <w:szCs w:val="32"/>
        </w:rPr>
        <w:t>20</w:t>
      </w:r>
      <w:r>
        <w:rPr>
          <w:rFonts w:ascii="仿宋_GB2312" w:eastAsia="仿宋_GB2312" w:cs="仿宋_GB2312" w:hint="eastAsia"/>
          <w:spacing w:val="15"/>
          <w:kern w:val="0"/>
          <w:sz w:val="32"/>
          <w:szCs w:val="32"/>
        </w:rPr>
        <w:t>年宁波市鄞州区“泛创业鄞州·精英引领计划”科技服务创业人才申报书</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4.20</w:t>
      </w:r>
      <w:r>
        <w:rPr>
          <w:rFonts w:ascii="仿宋_GB2312" w:eastAsia="仿宋_GB2312" w:cs="仿宋_GB2312"/>
          <w:spacing w:val="15"/>
          <w:kern w:val="0"/>
          <w:sz w:val="32"/>
          <w:szCs w:val="32"/>
        </w:rPr>
        <w:t>20</w:t>
      </w:r>
      <w:r>
        <w:rPr>
          <w:rFonts w:ascii="仿宋_GB2312" w:eastAsia="仿宋_GB2312" w:cs="仿宋_GB2312" w:hint="eastAsia"/>
          <w:spacing w:val="15"/>
          <w:kern w:val="0"/>
          <w:sz w:val="32"/>
          <w:szCs w:val="32"/>
        </w:rPr>
        <w:t>年宁波市鄞州区“泛创业鄞州·精英引领计划”科技服务创新人才申报书</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5.20</w:t>
      </w:r>
      <w:r>
        <w:rPr>
          <w:rFonts w:ascii="仿宋_GB2312" w:eastAsia="仿宋_GB2312" w:cs="仿宋_GB2312"/>
          <w:spacing w:val="15"/>
          <w:kern w:val="0"/>
          <w:sz w:val="32"/>
          <w:szCs w:val="32"/>
        </w:rPr>
        <w:t>20</w:t>
      </w:r>
      <w:r>
        <w:rPr>
          <w:rFonts w:ascii="仿宋_GB2312" w:eastAsia="仿宋_GB2312" w:cs="仿宋_GB2312" w:hint="eastAsia"/>
          <w:spacing w:val="15"/>
          <w:kern w:val="0"/>
          <w:sz w:val="32"/>
          <w:szCs w:val="32"/>
        </w:rPr>
        <w:t>年宁波市鄞州区“泛创业鄞州·精英引领计划”科技服务创业创新团队申报附件材料清单</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r>
        <w:rPr>
          <w:rFonts w:ascii="仿宋_GB2312" w:eastAsia="仿宋_GB2312" w:cs="仿宋_GB2312" w:hint="eastAsia"/>
          <w:spacing w:val="15"/>
          <w:kern w:val="0"/>
          <w:sz w:val="32"/>
          <w:szCs w:val="32"/>
        </w:rPr>
        <w:t>6.20</w:t>
      </w:r>
      <w:r>
        <w:rPr>
          <w:rFonts w:ascii="仿宋_GB2312" w:eastAsia="仿宋_GB2312" w:cs="仿宋_GB2312"/>
          <w:spacing w:val="15"/>
          <w:kern w:val="0"/>
          <w:sz w:val="32"/>
          <w:szCs w:val="32"/>
        </w:rPr>
        <w:t>20</w:t>
      </w:r>
      <w:r>
        <w:rPr>
          <w:rFonts w:ascii="仿宋_GB2312" w:eastAsia="仿宋_GB2312" w:cs="仿宋_GB2312" w:hint="eastAsia"/>
          <w:spacing w:val="15"/>
          <w:kern w:val="0"/>
          <w:sz w:val="32"/>
          <w:szCs w:val="32"/>
        </w:rPr>
        <w:t>年宁波市鄞州区“泛创业鄞州·精英引领计划”科技服务创业创新人才申报附件材料清单</w:t>
      </w: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p>
    <w:p>
      <w:pPr>
        <w:widowControl/>
        <w:shd w:val="clear" w:color="auto" w:fill="FFFFFF"/>
        <w:spacing w:line="579" w:lineRule="exact"/>
        <w:ind w:firstLineChars="200" w:firstLine="700"/>
        <w:jc w:val="left"/>
        <w:textAlignment w:val="baseline"/>
        <w:rPr>
          <w:rFonts w:ascii="仿宋_GB2312" w:eastAsia="仿宋_GB2312" w:cs="仿宋_GB2312"/>
          <w:spacing w:val="15"/>
          <w:kern w:val="0"/>
          <w:sz w:val="32"/>
          <w:szCs w:val="32"/>
        </w:rPr>
      </w:pPr>
    </w:p>
    <w:p>
      <w:pPr>
        <w:spacing w:line="579" w:lineRule="exact"/>
        <w:ind w:right="640" w:firstLineChars="1300" w:firstLine="4160"/>
        <w:rPr>
          <w:rFonts w:ascii="仿宋_GB2312" w:eastAsia="仿宋_GB2312"/>
          <w:sz w:val="32"/>
          <w:szCs w:val="32"/>
        </w:rPr>
      </w:pPr>
      <w:r>
        <w:rPr>
          <w:rFonts w:ascii="仿宋_GB2312" w:eastAsia="仿宋_GB2312" w:hint="eastAsia"/>
          <w:sz w:val="32"/>
          <w:szCs w:val="32"/>
        </w:rPr>
        <w:t>宁波市鄞州区科技局</w:t>
      </w:r>
    </w:p>
    <w:p>
      <w:pPr>
        <w:tabs>
          <w:tab w:val="left" w:pos="7200"/>
        </w:tabs>
        <w:spacing w:line="579" w:lineRule="exact"/>
        <w:ind w:firstLineChars="1350" w:firstLine="432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020年</w:t>
      </w:r>
      <w:r>
        <w:rPr>
          <w:rFonts w:ascii="仿宋_GB2312" w:eastAsia="仿宋_GB2312"/>
          <w:sz w:val="32"/>
          <w:szCs w:val="32"/>
        </w:rPr>
        <w:t>1</w:t>
      </w:r>
      <w:r>
        <w:rPr>
          <w:rFonts w:ascii="仿宋_GB2312" w:eastAsia="仿宋_GB2312" w:hint="eastAsia"/>
          <w:sz w:val="32"/>
          <w:szCs w:val="32"/>
        </w:rPr>
        <w:t>月15日</w:t>
      </w:r>
      <w:r>
        <w:rPr>
          <w:rFonts w:ascii="仿宋_GB2312" w:eastAsia="仿宋_GB2312"/>
          <w:sz w:val="32"/>
          <w:szCs w:val="32"/>
        </w:rPr>
        <w:tab/>
      </w:r>
    </w:p>
    <w:sectPr>
      <w:footerReference w:type="default" r:id="rId2"/>
      <w:footerReference w:type="even" r:id="rId3"/>
      <w:pgSz w:w="11906" w:h="16838"/>
      <w:pgMar w:top="2098" w:right="1474" w:bottom="1814" w:left="1588" w:header="851" w:footer="992" w:gutter="0"/>
      <w:pgNumType w:fmt="numberInDash"/>
      <w:docGrid w:type="lines" w:linePitch="312" w:charSpace="0"/>
    </w:sectPr>
  </w:body>
</w:document>
</file>

<file path=word/fontTable.xml><?xml version="1.0" encoding="utf-8"?>
<w:fonts xmlns:w="http://schemas.openxmlformats.org/wordprocessingml/2006/main" xmlns:r="http://schemas.openxmlformats.org/officeDocument/2006/relationships">
  <w:font w:name="方正小标宋简体">
    <w:panose1 w:val="03000509000000000000"/>
    <w:charset w:val="86"/>
    <w:family w:val="script"/>
    <w:pitch w:val="variable"/>
    <w:sig w:usb0="00000001" w:usb1="080E0000" w:usb2="00000010" w:usb3="00000000" w:csb0="00040000" w:csb1="00000000"/>
  </w:font>
  <w:font w:name="仿宋_GB2312">
    <w:panose1 w:val="02010609030101010101"/>
    <w:charset w:val="86"/>
    <w:family w:val="modern"/>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variable"/>
    <w:sig w:usb0="800002BF" w:usb1="38CF7CFA" w:usb2="00000016" w:usb3="00000000" w:csb0="00040001" w:csb1="00000000"/>
  </w:font>
  <w:font w:name="楷体_GB2312">
    <w:panose1 w:val="02010609030101010101"/>
    <w:charset w:val="86"/>
    <w:family w:val="modern"/>
    <w:pitch w:val="variable"/>
    <w:sig w:usb0="00000001" w:usb1="080E0000" w:usb2="00000010" w:usb3="00000000" w:csb0="00040000" w:csb1="00000000"/>
  </w:font>
  <w:font w:name="inherit">
    <w:altName w:val="Arial"/>
    <w:panose1 w:val="00000000000000000000"/>
    <w:charset w:val="00"/>
    <w:family w:val="auto"/>
    <w:pitch w:val="variable"/>
    <w:sig w:usb0="00000000" w:usb1="00000000" w:usb2="00000000" w:usb3="00000000" w:csb0="00000000" w:csb1="00000000"/>
  </w:font>
  <w:font w:name="微软雅黑">
    <w:panose1 w:val="020B0503020204020204"/>
    <w:charset w:val="86"/>
    <w:family w:val="swiss"/>
    <w:pitch w:val="variable"/>
    <w:sig w:usb0="80000287" w:usb1="280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p>
    <w:pPr>
      <w:pStyle w:val="15"/>
      <w:tabs>
        <w:tab w:val="center" w:pos="4153"/>
        <w:tab w:val="right" w:pos="8306"/>
      </w:tabs>
      <w:ind w:right="360"/>
    </w:pPr>
    <w:r>
      <mc:AlternateContent>
        <mc:Choice Requires="wps">
          <w:drawing>
            <wp:anchor distT="0" distB="0" distL="114298" distR="114298" simplePos="0" relativeHeight="10" behindDoc="0" locked="0" layoutInCell="1" hidden="0" allowOverlap="1">
              <wp:simplePos x="0" y="0"/>
              <wp:positionH relativeFrom="margin">
                <wp:align>outside</wp:align>
              </wp:positionH>
              <wp:positionV relativeFrom="paragraph">
                <wp:posOffset>0</wp:posOffset>
              </wp:positionV>
              <wp:extent cx="412623" cy="372751"/>
              <wp:effectExtent l="0" t="0" r="0" b="0"/>
              <wp:wrapNone/>
              <wp:docPr id="1" name="文本框"/>
              <wp:cNvGraphicFramePr>
                <a:graphicFrameLocks noChangeAspect="0"/>
              </wp:cNvGraphicFramePr>
              <a:graphic>
                <a:graphicData uri="http://schemas.microsoft.com/office/word/2010/wordprocessingShape">
                  <wps:wsp>
                    <wps:cNvSpPr/>
                    <wps:spPr>
                      <a:xfrm rot="0">
                        <a:off x="0" y="0"/>
                        <a:ext cx="412623" cy="372751"/>
                      </a:xfrm>
                      <a:prstGeom prst="rect"/>
                      <a:noFill/>
                      <a:ln w="9525" cmpd="sng" cap="flat">
                        <a:noFill/>
                        <a:prstDash val="solid"/>
                        <a:miter/>
                      </a:ln>
                    </wps:spPr>
                    <wps:txbx id="2">
                      <w:txbxContent>
                        <w:p>
                          <w:pPr>
                            <w:pStyle w:val="15"/>
                            <w:tabs>
                              <w:tab w:val="center" w:pos="4153"/>
                              <w:tab w:val="right" w:pos="8306"/>
                            </w:tabs>
                          </w:pPr>
                          <w:r>
                            <w:rPr>
                              <w:rStyle w:val="27"/>
                              <w:sz w:val="30"/>
                              <w:szCs w:val="30"/>
                            </w:rPr>
                            <w:fldChar w:fldCharType="begin"/>
                          </w:r>
                          <w:r>
                            <w:rPr>
                              <w:rStyle w:val="27"/>
                              <w:sz w:val="30"/>
                              <w:szCs w:val="30"/>
                            </w:rPr>
                            <w:instrText xml:space="preserve"> PAGE  </w:instrText>
                          </w:r>
                          <w:r>
                            <w:rPr>
                              <w:sz w:val="30"/>
                              <w:szCs w:val="30"/>
                            </w:rPr>
                            <w:fldChar w:fldCharType="separate"/>
                          </w:r>
                          <w:r>
                            <w:rPr>
                              <w:rStyle w:val="27"/>
                              <w:sz w:val="30"/>
                              <w:szCs w:val="30"/>
                            </w:rPr>
                            <w:t>- 13 -</w:t>
                          </w:r>
                          <w:r>
                            <w:rPr>
                              <w:sz w:val="30"/>
                              <w:szCs w:val="30"/>
                            </w:rPr>
                            <w:fldChar w:fldCharType="end"/>
                          </w:r>
                        </w:p>
                        <w:p/>
                      </w:txbxContent>
                    </wps:txbx>
                    <wps:bodyPr vert="horz" wrap="none" lIns="0" tIns="0" rIns="0" bIns="0" anchor="t" anchorCtr="0" upright="1">
                      <a:spAutoFit/>
                    </wps:bodyPr>
                  </wps:wsp>
                </a:graphicData>
              </a:graphic>
            </wp:anchor>
          </w:drawing>
        </mc:Choice>
        <mc:Fallback>
          <w:pict>
            <v:shape type="#_x0000_t202" id="文本框 3" o:spid="_x0000_s3" filled="f" stroked="f" style="position:absolute;margin-left:-48.700005pt;margin-top:0.0pt;width:32.490013pt;height:29.350536pt;z-index:10;mso-position-horizontal:outside;mso-position-horizontal-relative:margin;mso-position-vertical:absolute;mso-wrap-distance-left:8.999863pt;mso-wrap-distance-right:8.999863pt;mso-wrap-style:none;">
              <v:stroke color="#000000"/>
              <v:textbox id="848" inset="0mm,0mm,0mm,0mm" o:insetmode="custom" style="layout-flow:horizontal;v-text-anchor:top;mso-fit-shape-to-text:t;">
                <w:txbxContent>
                  <w:p>
                    <w:pPr>
                      <w:pStyle w:val="15"/>
                      <w:tabs>
                        <w:tab w:val="center" w:pos="4153"/>
                        <w:tab w:val="right" w:pos="8306"/>
                      </w:tabs>
                    </w:pPr>
                    <w:r>
                      <w:rPr>
                        <w:rStyle w:val="27"/>
                        <w:sz w:val="30"/>
                        <w:szCs w:val="30"/>
                      </w:rPr>
                      <w:fldChar w:fldCharType="begin"/>
                    </w:r>
                    <w:r>
                      <w:rPr>
                        <w:rStyle w:val="27"/>
                        <w:sz w:val="30"/>
                        <w:szCs w:val="30"/>
                      </w:rPr>
                      <w:instrText xml:space="preserve"> PAGE  </w:instrText>
                    </w:r>
                    <w:r>
                      <w:rPr>
                        <w:sz w:val="30"/>
                        <w:szCs w:val="30"/>
                      </w:rPr>
                      <w:fldChar w:fldCharType="separate"/>
                    </w:r>
                    <w:r>
                      <w:rPr>
                        <w:rStyle w:val="27"/>
                        <w:sz w:val="30"/>
                        <w:szCs w:val="30"/>
                      </w:rPr>
                      <w:t>- 13 -</w:t>
                    </w:r>
                    <w:r>
                      <w:rPr>
                        <w:sz w:val="30"/>
                        <w:szCs w:val="30"/>
                      </w:rPr>
                      <w:fldChar w:fldCharType="end"/>
                    </w:r>
                  </w:p>
                  <w:p/>
                </w:txbxContent>
              </v:textbox>
            </v:shape>
          </w:pict>
        </mc:Fallback>
      </mc:AlternateContent>
    </w:r>
  </w:p>
</w:ftr>
</file>

<file path=word/footer2.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p>
    <w:pPr>
      <w:pStyle w:val="15"/>
      <w:framePr w:w="0" w:hRule="auto" w:wrap="around" w:vAnchor="text" w:hAnchor="margin" w:xAlign="center" w:y="1" w:anchorLock="0"/>
      <w:tabs>
        <w:tab w:val="center" w:pos="4153"/>
        <w:tab w:val="right" w:pos="8306"/>
      </w:tabs>
      <w:rPr>
        <w:rStyle w:val="27"/>
      </w:rPr>
    </w:pPr>
    <w:r>
      <w:rPr>
        <w:rStyle w:val="27"/>
      </w:rPr>
      <w:fldChar w:fldCharType="begin"/>
    </w:r>
    <w:r>
      <w:rPr>
        <w:rStyle w:val="27"/>
      </w:rPr>
      <w:instrText xml:space="preserve">PAGE  </w:instrText>
    </w:r>
    <w:r>
      <w:fldChar w:fldCharType="separate"/>
    </w:r>
    <w:r>
      <w:fldChar w:fldCharType="end"/>
    </w:r>
  </w:p>
  <w:p>
    <w:pPr>
      <w:pStyle w:val="15"/>
      <w:tabs>
        <w:tab w:val="center" w:pos="4153"/>
        <w:tab w:val="right" w:pos="8306"/>
      </w:tabs>
    </w:pPr>
  </w:p>
</w:ft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w:abstractNum w:abstractNumId="0">
    <w:nsid w:val="0000000A"/>
    <w:multiLevelType w:val="singleLevel"/>
    <w:tmpl w:val="0000000A"/>
    <w:lvl w:ilvl="0">
      <w:start w:val="3"/>
      <w:numFmt w:val="chineseCounting"/>
      <w:lvlRestart w:val="0"/>
      <w:suff w:val="nothing"/>
      <w:lvlText w:val="%1、"/>
      <w:lvlJc w:val="left"/>
      <w:pPr>
        <w:tabs>
          <w:tab w:val="num" w:pos="0"/>
        </w:tabs>
        <w:ind w:left="0" w:hanging="0"/>
      </w:pPr>
      <w:rPr>
        <w:rFonts w:hint="eastAsia"/>
      </w:rPr>
    </w:lvl>
  </w:abstractNum>
  <w:abstractNum w:abstractNumId="1">
    <w:nsid w:val="0000000B"/>
    <w:multiLevelType w:val="multilevel"/>
    <w:tmpl w:val="0000000B"/>
    <w:lvl w:ilvl="0">
      <w:start w:val="1"/>
      <w:numFmt w:val="japaneseCounting"/>
      <w:lvlRestart w:val="0"/>
      <w:lvlText w:val="（%1）"/>
      <w:lvlJc w:val="left"/>
      <w:pPr>
        <w:tabs>
          <w:tab w:val="num" w:pos="0"/>
        </w:tabs>
        <w:ind w:left="1780" w:hanging="1080"/>
      </w:pPr>
      <w:rPr>
        <w:rFonts w:hint="default"/>
      </w:rPr>
    </w:lvl>
    <w:lvl w:ilvl="1">
      <w:start w:val="1"/>
      <w:numFmt w:val="lowerLetter"/>
      <w:lvlText w:val="%2)"/>
      <w:lvlJc w:val="left"/>
      <w:pPr>
        <w:tabs>
          <w:tab w:val="num" w:pos="0"/>
        </w:tabs>
        <w:ind w:left="1540" w:hanging="420"/>
      </w:pPr>
    </w:lvl>
    <w:lvl w:ilvl="2">
      <w:start w:val="1"/>
      <w:numFmt w:val="lowerRoman"/>
      <w:lvlText w:val="%3."/>
      <w:lvlJc w:val="right"/>
      <w:pPr>
        <w:tabs>
          <w:tab w:val="num" w:pos="0"/>
        </w:tabs>
        <w:ind w:left="1960" w:hanging="420"/>
      </w:pPr>
    </w:lvl>
    <w:lvl w:ilvl="3">
      <w:start w:val="1"/>
      <w:numFmt w:val="decimal"/>
      <w:lvlText w:val="%4."/>
      <w:lvlJc w:val="left"/>
      <w:pPr>
        <w:tabs>
          <w:tab w:val="num" w:pos="0"/>
        </w:tabs>
        <w:ind w:left="2380" w:hanging="420"/>
      </w:pPr>
    </w:lvl>
    <w:lvl w:ilvl="4">
      <w:start w:val="1"/>
      <w:numFmt w:val="lowerLetter"/>
      <w:lvlText w:val="%5)"/>
      <w:lvlJc w:val="left"/>
      <w:pPr>
        <w:tabs>
          <w:tab w:val="num" w:pos="0"/>
        </w:tabs>
        <w:ind w:left="2800" w:hanging="420"/>
      </w:pPr>
    </w:lvl>
    <w:lvl w:ilvl="5">
      <w:start w:val="1"/>
      <w:numFmt w:val="lowerRoman"/>
      <w:lvlText w:val="%6."/>
      <w:lvlJc w:val="right"/>
      <w:pPr>
        <w:tabs>
          <w:tab w:val="num" w:pos="0"/>
        </w:tabs>
        <w:ind w:left="3220" w:hanging="420"/>
      </w:pPr>
    </w:lvl>
    <w:lvl w:ilvl="6">
      <w:start w:val="1"/>
      <w:numFmt w:val="decimal"/>
      <w:lvlText w:val="%7."/>
      <w:lvlJc w:val="left"/>
      <w:pPr>
        <w:tabs>
          <w:tab w:val="num" w:pos="0"/>
        </w:tabs>
        <w:ind w:left="3640" w:hanging="420"/>
      </w:pPr>
    </w:lvl>
    <w:lvl w:ilvl="7">
      <w:start w:val="1"/>
      <w:numFmt w:val="lowerLetter"/>
      <w:lvlText w:val="%8)"/>
      <w:lvlJc w:val="left"/>
      <w:pPr>
        <w:tabs>
          <w:tab w:val="num" w:pos="0"/>
        </w:tabs>
        <w:ind w:left="4060" w:hanging="420"/>
      </w:pPr>
    </w:lvl>
    <w:lvl w:ilvl="8">
      <w:start w:val="1"/>
      <w:numFmt w:val="lowerRoman"/>
      <w:lvlText w:val="%9."/>
      <w:lvlJc w:val="right"/>
      <w:pPr>
        <w:tabs>
          <w:tab w:val="num" w:pos="0"/>
        </w:tabs>
        <w:ind w:left="4480" w:hanging="420"/>
      </w:pPr>
    </w:lvl>
  </w:abstractNum>
  <w:num w:numId="1">
    <w:abstractNumId w:val="0"/>
  </w:num>
  <w:num w:numId="2">
    <w:abstractNumId w:val="1"/>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compat>
    <w:spaceForUL/>
    <w:balanceSingleByteDoubleByteWidth/>
    <w:ulTrailSpace/>
    <w:doNotExpandShiftReturn/>
    <w:adjustLineHeightInTable/>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szCs w:val="24"/>
      <w:lang w:val="en-US" w:eastAsia="zh-CN" w:bidi="ar-SA"/>
    </w:rPr>
  </w:style>
  <w:style w:type="paragraph" w:styleId="1">
    <w:name w:val="heading 1"/>
    <w:basedOn w:val="0"/>
    <w:next w:val="0"/>
    <w:pPr>
      <w:spacing w:beforeAutospacing="1" w:afterAutospacing="1"/>
      <w:jc w:val="left"/>
      <w:outlineLvl w:val="0"/>
    </w:pPr>
    <w:rPr>
      <w:rFonts w:ascii="宋体"/>
      <w:b/>
      <w:kern w:val="44"/>
      <w:sz w:val="48"/>
      <w:szCs w:val="48"/>
    </w:rPr>
  </w:style>
  <w:style w:type="character" w:default="1" w:styleId="10">
    <w:name w:val="Default Paragraph Font"/>
  </w:style>
  <w:style w:type="paragraph" w:styleId="15">
    <w:name w:val="footer"/>
    <w:basedOn w:val="0"/>
    <w:pPr>
      <w:tabs>
        <w:tab w:val="center" w:pos="4153"/>
        <w:tab w:val="right" w:pos="8306"/>
      </w:tabs>
      <w:snapToGrid w:val="0"/>
      <w:jc w:val="left"/>
    </w:pPr>
    <w:rPr>
      <w:sz w:val="18"/>
      <w:szCs w:val="18"/>
    </w:rPr>
  </w:style>
  <w:style w:type="paragraph" w:styleId="16">
    <w:name w:val="header"/>
    <w:basedOn w:val="0"/>
    <w:pPr>
      <w:tabs>
        <w:tab w:val="center" w:pos="4153"/>
        <w:tab w:val="right" w:pos="8306"/>
      </w:tabs>
      <w:snapToGrid w:val="0"/>
    </w:pPr>
    <w:rPr>
      <w:sz w:val="18"/>
      <w:szCs w:val="18"/>
    </w:rPr>
  </w:style>
  <w:style w:type="character" w:styleId="17">
    <w:name w:val="Strong"/>
    <w:rPr>
      <w:rFonts w:cs="Times New Roman"/>
      <w:b/>
      <w:bCs/>
    </w:rPr>
  </w:style>
  <w:style w:type="character" w:styleId="18">
    <w:name w:val="page number"/>
    <w:basedOn w:val="10"/>
  </w:style>
  <w:style w:type="character" w:styleId="19">
    <w:name w:val="FollowedHyperlink"/>
    <w:rPr>
      <w:color w:val="000000"/>
      <w:sz w:val="18"/>
      <w:szCs w:val="18"/>
      <w:u w:val="none"/>
    </w:rPr>
  </w:style>
  <w:style w:type="character" w:styleId="20">
    <w:name w:val="Hyperlink"/>
    <w:rPr>
      <w:rFonts w:cs="Times New Roman"/>
      <w:color w:val="0000FF"/>
      <w:u w:val="single"/>
    </w:rPr>
  </w:style>
  <w:style w:type="paragraph" w:customStyle="1" w:styleId="21">
    <w:name w:val="批注框文本 Char Char"/>
    <w:basedOn w:val="0"/>
    <w:rPr>
      <w:sz w:val="16"/>
      <w:szCs w:val="16"/>
    </w:rPr>
  </w:style>
  <w:style w:type="paragraph" w:customStyle="1" w:styleId="22">
    <w:name w:val="文档结构图1"/>
    <w:basedOn w:val="0"/>
    <w:pPr>
      <w:shd w:val="clear" w:color="auto" w:fill="000080"/>
    </w:pPr>
    <w:rPr>
      <w:sz w:val="16"/>
      <w:szCs w:val="16"/>
    </w:rPr>
  </w:style>
  <w:style w:type="paragraph" w:customStyle="1" w:styleId="23">
    <w:name w:val="普通(网站)1"/>
    <w:basedOn w:val="0"/>
    <w:pPr>
      <w:widowControl/>
      <w:spacing w:before="100" w:beforeAutospacing="1" w:after="100" w:afterAutospacing="1"/>
      <w:jc w:val="left"/>
    </w:pPr>
    <w:rPr>
      <w:rFonts w:ascii="宋体" w:cs="宋体"/>
      <w:kern w:val="0"/>
      <w:sz w:val="24"/>
    </w:rPr>
  </w:style>
  <w:style w:type="paragraph" w:customStyle="1" w:styleId="24">
    <w:name w:val="Char Char Char Char Char Char"/>
    <w:basedOn w:val="22"/>
  </w:style>
  <w:style w:type="paragraph" w:customStyle="1" w:styleId="25">
    <w:name w:val="p0"/>
    <w:basedOn w:val="0"/>
    <w:pPr>
      <w:widowControl/>
    </w:pPr>
    <w:rPr>
      <w:kern w:val="0"/>
      <w:szCs w:val="21"/>
    </w:rPr>
  </w:style>
  <w:style w:type="paragraph" w:customStyle="1" w:styleId="26">
    <w:name w:val="列出段落1"/>
    <w:basedOn w:val="0"/>
    <w:pPr>
      <w:ind w:firstLineChars="200" w:firstLine="200"/>
    </w:pPr>
  </w:style>
  <w:style w:type="character" w:customStyle="1" w:styleId="27">
    <w:name w:val="页码1"/>
    <w:rPr>
      <w:rFonts w:cs="Times New Roman"/>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styles" Target="styles.xml"/><Relationship Id="rId5" Type="http://schemas.openxmlformats.org/officeDocument/2006/relationships/numbering" Target="numbering.xml"/><Relationship Id="rId6" Type="http://schemas.openxmlformats.org/officeDocument/2006/relationships/fontTable" Target="fontTable.xml"/></Relationships>
</file>

<file path=docProps/app.xml><?xml version="1.0" encoding="utf-8"?>
<Properties xmlns="http://schemas.openxmlformats.org/officeDocument/2006/extended-properties">
  <Template>Normal.eit</Template>
  <TotalTime>20</TotalTime>
  <Application>Yozo_Office</Application>
  <Pages>15</Pages>
  <Words>6165</Words>
  <Characters>6407</Characters>
  <Lines>324</Lines>
  <Paragraphs>113</Paragraphs>
  <CharactersWithSpaces>6424</CharactersWithSpaces>
  <Company>china</Company>
</Properties>
</file>

<file path=docProps/core.xml><?xml version="1.0" encoding="utf-8"?>
<cp:coreProperties xmlns:cp="http://schemas.openxmlformats.org/package/2006/metadata/core-properties" xmlns:dc="http://purl.org/dc/elements/1.1/" xmlns:dcterms="http://purl.org/dc/terms/" xmlns:xsi="http://www.w3.org/2001/XMLSchema-instance">
  <dc:title>2015年宁波市鄞州区引进海内外高层次人才公告</dc:title>
  <dc:creator>人社局</dc:creator>
  <cp:lastModifiedBy>XYY</cp:lastModifiedBy>
  <cp:revision>11</cp:revision>
  <cp:lastPrinted>2018-12-30T05:21:00Z</cp:lastPrinted>
  <dcterms:created xsi:type="dcterms:W3CDTF">2019-12-22T16:54:00Z</dcterms:created>
  <dcterms:modified xsi:type="dcterms:W3CDTF">2020-01-15T07:30:25Z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2052-9.1.0.4167</vt:lpwstr>
  </property>
</Properties>
</file>