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both"/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6</w:t>
      </w:r>
    </w:p>
    <w:p>
      <w:pPr>
        <w:widowControl/>
        <w:spacing w:after="156" w:afterLines="50" w:line="600" w:lineRule="exact"/>
        <w:jc w:val="center"/>
        <w:rPr>
          <w:rFonts w:hint="eastAsia" w:eastAsia="方正小标宋简体"/>
          <w:color w:val="000000"/>
          <w:kern w:val="0"/>
          <w:szCs w:val="32"/>
          <w:lang w:eastAsia="zh-CN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eastAsia="zh-CN"/>
        </w:rPr>
        <w:t>直接进入答辩评审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申请表</w:t>
      </w:r>
      <w:r>
        <w:rPr>
          <w:rFonts w:hint="eastAsia" w:eastAsia="方正小标宋简体"/>
          <w:bCs/>
          <w:color w:val="000000"/>
          <w:kern w:val="0"/>
          <w:sz w:val="44"/>
          <w:szCs w:val="44"/>
          <w:lang w:eastAsia="zh-CN"/>
        </w:rPr>
        <w:t>（特优人才）</w:t>
      </w:r>
    </w:p>
    <w:tbl>
      <w:tblPr>
        <w:tblStyle w:val="4"/>
        <w:tblW w:w="8951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97"/>
        <w:gridCol w:w="1687"/>
        <w:gridCol w:w="823"/>
        <w:gridCol w:w="69"/>
        <w:gridCol w:w="264"/>
        <w:gridCol w:w="60"/>
        <w:gridCol w:w="1470"/>
        <w:gridCol w:w="25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4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团队带头人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7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带头人所获相当于特优及以上层次的荣誉名称</w:t>
            </w:r>
          </w:p>
        </w:tc>
        <w:tc>
          <w:tcPr>
            <w:tcW w:w="52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获得荣誉时间</w:t>
            </w:r>
          </w:p>
        </w:tc>
        <w:tc>
          <w:tcPr>
            <w:tcW w:w="178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获得荣誉时所在单位</w:t>
            </w:r>
          </w:p>
        </w:tc>
        <w:tc>
          <w:tcPr>
            <w:tcW w:w="25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555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1" w:type="dxa"/>
            <w:gridSpan w:val="9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“创业鄞州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·精英引领计划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”直接进入答辩评审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，我们郑重承诺对申请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直接进入答辩评审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所填写的内容和所提交材料的真实性、准确性负责，并承担一切相关责任。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635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ind w:firstLine="2520" w:firstLineChars="900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431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80" w:firstLineChars="1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none"/>
              </w:rPr>
              <w:t>申请人（团队带头人）</w:t>
            </w:r>
          </w:p>
          <w:p>
            <w:pPr>
              <w:spacing w:line="500" w:lineRule="exact"/>
              <w:ind w:firstLine="2380" w:firstLineChars="8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959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已（拟）落户的镇（街道、园区）意见：</w:t>
            </w:r>
          </w:p>
        </w:tc>
        <w:tc>
          <w:tcPr>
            <w:tcW w:w="399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审核人（盖章）：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456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区人社局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审核人（盖章）：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438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区委人才办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ind w:firstLine="980" w:firstLineChars="3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审核人（盖章）：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特优人才主要指：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1.国家“千人计划”“万人计划”专家；百千万人才工程国家级人选。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2.中国青年科技奖获得者；中国青年女科学家奖获得者；国家有突出贡献的中青年专家；国家杰出青年科学基金项目获得者。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国家实验室主任、副主任、学术委员会主任；国家重点实验室主任、学术委员会主任；国家工程实验室、国家工程（技术）研究中心、国家能源研发（实验）中心主任；国务院学科评议组召集人；国家科学技术一等奖（第2、3位完成人）、二等奖（第1完成人）获得者；中国专利金奖前2位完成人；中国标准创新贡献奖获得者（个人奖）；全国专业标准化技术委员会主任委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4.长江学者；长江学者成就奖获得者；国医大师；全国名中医；吴阶平医学奖获得者；中华医学学会各专业委员会主任委员。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5.浙江省特级专家；浙江省“万人计划杰出人才”；浙江省科学技术重大贡献奖获得者；中科院“百人计划”A类人才；宁波市杰出人才。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6.世界知名大学校长、副校长；世界500强企业的二级公司或地区总部总经理。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7.其他相当于上述层次的特优人才。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262E4"/>
    <w:rsid w:val="0E2D147D"/>
    <w:rsid w:val="0ED64DEB"/>
    <w:rsid w:val="13614A21"/>
    <w:rsid w:val="151415D4"/>
    <w:rsid w:val="3F5C2CAB"/>
    <w:rsid w:val="5DEA3AC7"/>
    <w:rsid w:val="6DE22FA4"/>
    <w:rsid w:val="6E0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qFormat/>
    <w:uiPriority w:val="0"/>
    <w:pPr>
      <w:spacing w:line="579" w:lineRule="exact"/>
      <w:ind w:firstLine="7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2018-12-31T02:53:00Z</dcterms:created>
  <dc:creator>振振</dc:creator>
  <cp:lastModifiedBy>振振</cp:lastModifiedBy>
  <cp:lastPrinted>2018-12-31T03:48:54Z</cp:lastPrinted>
  <dcterms:modified xsi:type="dcterms:W3CDTF">2018-12-31T06:12:01Z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